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6DB7" w14:textId="77777777" w:rsidR="0088436D" w:rsidRPr="00C34D41" w:rsidRDefault="0088436D" w:rsidP="008843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D41">
        <w:rPr>
          <w:rFonts w:cs="Times New Roman"/>
          <w:noProof/>
        </w:rPr>
        <w:drawing>
          <wp:anchor distT="0" distB="0" distL="114300" distR="114300" simplePos="0" relativeHeight="251665408" behindDoc="0" locked="0" layoutInCell="1" allowOverlap="1" wp14:anchorId="211AD500" wp14:editId="1D6A2C4E">
            <wp:simplePos x="0" y="0"/>
            <wp:positionH relativeFrom="margin">
              <wp:posOffset>4908797</wp:posOffset>
            </wp:positionH>
            <wp:positionV relativeFrom="paragraph">
              <wp:posOffset>-557655</wp:posOffset>
            </wp:positionV>
            <wp:extent cx="1078346" cy="715352"/>
            <wp:effectExtent l="0" t="0" r="7620" b="8890"/>
            <wp:wrapNone/>
            <wp:docPr id="4" name="Imagem 4" descr="http://www.ebiah.edu.pt/portaleb23ah/Portals/0/Noticias/14-15/imagem_prosuce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www.ebiah.edu.pt/portaleb23ah/Portals/0/Noticias/14-15/imagem_prosucess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28" cy="72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D3274DF" wp14:editId="63BA3BE4">
            <wp:simplePos x="0" y="0"/>
            <wp:positionH relativeFrom="column">
              <wp:posOffset>208280</wp:posOffset>
            </wp:positionH>
            <wp:positionV relativeFrom="paragraph">
              <wp:posOffset>-505097</wp:posOffset>
            </wp:positionV>
            <wp:extent cx="1532918" cy="762604"/>
            <wp:effectExtent l="0" t="0" r="0" b="0"/>
            <wp:wrapNone/>
            <wp:docPr id="1027221884" name="Imagem 1" descr="Portal da Educação - Direção Regional da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21884" name="Imagem 1" descr="Portal da Educação - Direção Regional da Educação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918" cy="76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CF559" w14:textId="77777777" w:rsidR="0088436D" w:rsidRPr="00A92E9D" w:rsidRDefault="0088436D" w:rsidP="0088436D">
      <w:pPr>
        <w:widowControl w:val="0"/>
        <w:tabs>
          <w:tab w:val="left" w:pos="2880"/>
          <w:tab w:val="left" w:pos="6568"/>
        </w:tabs>
        <w:spacing w:before="240" w:after="0" w:line="360" w:lineRule="auto"/>
        <w:rPr>
          <w:rFonts w:ascii="Tw Cen MT" w:eastAsia="Trebuchet MS" w:hAnsi="Tw Cen MT" w:cs="Trebuchet MS"/>
          <w:spacing w:val="98"/>
          <w:sz w:val="20"/>
        </w:rPr>
      </w:pPr>
      <w:r w:rsidRPr="00A92E9D">
        <w:rPr>
          <w:rFonts w:ascii="Tw Cen MT" w:eastAsia="Times New Roman" w:hAnsi="Tw Cen MT" w:cs="Trebuchet MS"/>
          <w:sz w:val="24"/>
        </w:rPr>
        <w:t>INFORMAÇÃO - PROVA DE EQUIVALÊNCIA À FREQUÊNCIA</w:t>
      </w:r>
    </w:p>
    <w:p w14:paraId="6DDD3870" w14:textId="77EEBE0A" w:rsidR="0088436D" w:rsidRPr="00A92E9D" w:rsidRDefault="0088436D" w:rsidP="0088436D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30"/>
          <w:szCs w:val="30"/>
        </w:rPr>
      </w:pPr>
      <w:r w:rsidRPr="00F45B89">
        <w:rPr>
          <w:rFonts w:cs="Times New Roman"/>
          <w:noProof/>
          <w:sz w:val="30"/>
          <w:szCs w:val="30"/>
          <w:highlight w:val="yellow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7A989276" wp14:editId="4A37A3A4">
                <wp:simplePos x="0" y="0"/>
                <wp:positionH relativeFrom="column">
                  <wp:posOffset>3175</wp:posOffset>
                </wp:positionH>
                <wp:positionV relativeFrom="paragraph">
                  <wp:posOffset>253999</wp:posOffset>
                </wp:positionV>
                <wp:extent cx="6278245" cy="0"/>
                <wp:effectExtent l="0" t="0" r="0" b="0"/>
                <wp:wrapNone/>
                <wp:docPr id="1" name="Conexão reta unidirecion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FE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" o:spid="_x0000_s1026" type="#_x0000_t32" style="position:absolute;margin-left:.25pt;margin-top:20pt;width:494.3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" strokeweight="2.25pt"/>
            </w:pict>
          </mc:Fallback>
        </mc:AlternateContent>
      </w:r>
      <w:r>
        <w:rPr>
          <w:rFonts w:ascii="Tw Cen MT" w:eastAsia="Times New Roman" w:hAnsi="Tw Cen MT" w:cs="TrebuchetMS-Bold"/>
          <w:b/>
          <w:bCs/>
          <w:sz w:val="30"/>
          <w:szCs w:val="30"/>
        </w:rPr>
        <w:t>Fotografia e Vídeo</w:t>
      </w:r>
      <w:r w:rsidRPr="00A92E9D">
        <w:rPr>
          <w:rFonts w:ascii="Tw Cen MT" w:eastAsia="Times New Roman" w:hAnsi="Tw Cen MT" w:cs="TrebuchetMS-Bold"/>
          <w:b/>
          <w:bCs/>
          <w:sz w:val="30"/>
          <w:szCs w:val="30"/>
        </w:rPr>
        <w:tab/>
      </w:r>
      <w:r w:rsidRPr="00A92E9D">
        <w:rPr>
          <w:rFonts w:ascii="Tw Cen MT" w:eastAsia="Times New Roman" w:hAnsi="Tw Cen MT" w:cs="TrebuchetMS-Bold"/>
          <w:b/>
          <w:bCs/>
          <w:sz w:val="30"/>
          <w:szCs w:val="30"/>
        </w:rPr>
        <w:tab/>
      </w:r>
      <w:r w:rsidRPr="00A92E9D">
        <w:rPr>
          <w:rFonts w:ascii="Tw Cen MT" w:eastAsia="Times New Roman" w:hAnsi="Tw Cen MT" w:cs="TrebuchetMS-Bold"/>
          <w:b/>
          <w:bCs/>
          <w:sz w:val="30"/>
          <w:szCs w:val="30"/>
        </w:rPr>
        <w:tab/>
      </w:r>
      <w:r w:rsidRPr="00A92E9D">
        <w:rPr>
          <w:rFonts w:ascii="Tw Cen MT" w:eastAsia="Times New Roman" w:hAnsi="Tw Cen MT" w:cs="TrebuchetMS-Bold"/>
          <w:b/>
          <w:bCs/>
          <w:sz w:val="30"/>
          <w:szCs w:val="30"/>
        </w:rPr>
        <w:tab/>
      </w:r>
      <w:r w:rsidRPr="00A92E9D">
        <w:rPr>
          <w:rFonts w:ascii="Tw Cen MT" w:eastAsia="Times New Roman" w:hAnsi="Tw Cen MT" w:cs="TrebuchetMS-Bold"/>
          <w:b/>
          <w:bCs/>
          <w:sz w:val="30"/>
          <w:szCs w:val="30"/>
        </w:rPr>
        <w:tab/>
      </w:r>
      <w:r w:rsidRPr="00A92E9D">
        <w:rPr>
          <w:rFonts w:ascii="Tw Cen MT" w:eastAsia="Times New Roman" w:hAnsi="Tw Cen MT" w:cs="TrebuchetMS-Bold"/>
          <w:b/>
          <w:bCs/>
          <w:sz w:val="30"/>
          <w:szCs w:val="30"/>
        </w:rPr>
        <w:tab/>
        <w:t xml:space="preserve">                  </w:t>
      </w:r>
    </w:p>
    <w:p w14:paraId="5ACB0A1C" w14:textId="01CC4429" w:rsidR="0088436D" w:rsidRPr="00A92E9D" w:rsidRDefault="0088436D" w:rsidP="0088436D">
      <w:pPr>
        <w:pBdr>
          <w:bottom w:val="dashed" w:sz="4" w:space="1" w:color="auto"/>
        </w:pBdr>
        <w:tabs>
          <w:tab w:val="right" w:pos="10642"/>
        </w:tabs>
        <w:autoSpaceDE w:val="0"/>
        <w:autoSpaceDN w:val="0"/>
        <w:adjustRightInd w:val="0"/>
        <w:spacing w:before="240" w:after="200" w:line="360" w:lineRule="auto"/>
        <w:ind w:right="-176"/>
        <w:rPr>
          <w:rFonts w:ascii="Tw Cen MT" w:eastAsia="Times New Roman" w:hAnsi="Tw Cen MT" w:cs="TrebuchetMS-Bold"/>
          <w:b/>
          <w:bCs/>
          <w:szCs w:val="20"/>
        </w:rPr>
      </w:pPr>
      <w:r w:rsidRPr="00A92E9D">
        <w:rPr>
          <w:rFonts w:ascii="Tw Cen MT" w:eastAsia="Times New Roman" w:hAnsi="Tw Cen MT" w:cs="TrebuchetMS-Bold"/>
          <w:b/>
          <w:bCs/>
          <w:szCs w:val="20"/>
        </w:rPr>
        <w:t xml:space="preserve">Prova </w:t>
      </w:r>
      <w:r w:rsidR="002068E2">
        <w:rPr>
          <w:rFonts w:ascii="Tw Cen MT" w:eastAsia="Times New Roman" w:hAnsi="Tw Cen MT" w:cs="TrebuchetMS-Bold"/>
          <w:b/>
          <w:bCs/>
          <w:szCs w:val="20"/>
        </w:rPr>
        <w:t>XX</w:t>
      </w:r>
      <w:r w:rsidRPr="00644E48">
        <w:rPr>
          <w:rFonts w:ascii="Tw Cen MT" w:eastAsia="Times New Roman" w:hAnsi="Tw Cen MT" w:cs="TrebuchetMS-Bold"/>
          <w:b/>
          <w:bCs/>
          <w:szCs w:val="20"/>
        </w:rPr>
        <w:t>| 2023</w:t>
      </w:r>
    </w:p>
    <w:p w14:paraId="3A4FC3E4" w14:textId="77777777" w:rsidR="0088436D" w:rsidRPr="00A92E9D" w:rsidRDefault="0088436D" w:rsidP="0088436D">
      <w:pPr>
        <w:autoSpaceDE w:val="0"/>
        <w:autoSpaceDN w:val="0"/>
        <w:adjustRightInd w:val="0"/>
        <w:spacing w:after="200" w:line="276" w:lineRule="auto"/>
        <w:rPr>
          <w:rFonts w:ascii="Tw Cen MT" w:eastAsia="Times New Roman" w:hAnsi="Tw Cen MT" w:cs="TrebuchetMS-Bold"/>
          <w:b/>
          <w:bCs/>
          <w:sz w:val="20"/>
          <w:szCs w:val="20"/>
        </w:rPr>
      </w:pPr>
      <w:r w:rsidRPr="00F45B89">
        <w:rPr>
          <w:rFonts w:cs="Times New Roman"/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 wp14:anchorId="538D9E46" wp14:editId="7AFDB925">
                <wp:simplePos x="0" y="0"/>
                <wp:positionH relativeFrom="margin">
                  <wp:posOffset>19050</wp:posOffset>
                </wp:positionH>
                <wp:positionV relativeFrom="page">
                  <wp:posOffset>2457450</wp:posOffset>
                </wp:positionV>
                <wp:extent cx="6291580" cy="31750"/>
                <wp:effectExtent l="0" t="0" r="7620" b="19050"/>
                <wp:wrapNone/>
                <wp:docPr id="3" name="Conexão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580" cy="31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AEB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ACEA0" id="Conexão reta 3" o:spid="_x0000_s1026" style="position:absolute;flip:y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1.5pt,193.5pt" to="496.9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" strokecolor="#2aebff" strokeweight="2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w Cen MT" w:eastAsia="Times New Roman" w:hAnsi="Tw Cen MT" w:cs="TrebuchetMS"/>
          <w:sz w:val="24"/>
          <w:szCs w:val="24"/>
        </w:rPr>
        <w:t>3</w:t>
      </w:r>
      <w:r w:rsidRPr="00A92E9D">
        <w:rPr>
          <w:rFonts w:ascii="Tw Cen MT" w:eastAsia="Times New Roman" w:hAnsi="Tw Cen MT" w:cs="TrebuchetMS"/>
          <w:sz w:val="24"/>
          <w:szCs w:val="24"/>
        </w:rPr>
        <w:t>.º Ciclo do Ensino Básico</w:t>
      </w:r>
    </w:p>
    <w:p w14:paraId="745AB0B3" w14:textId="5F1FFF10" w:rsidR="00E1112A" w:rsidRDefault="00E1112A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5639BD29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O presente documento divulga as características da prova de equivalência à frequência da disciplina de Fotografia e Vídeo, a realizar em 2023 pelos alunos que se encontram abrangidos pelos planos de estudo instituídos pelo Decreto Legislativo Regional n.º 16/2019/A de 23 de julho.</w:t>
      </w:r>
    </w:p>
    <w:p w14:paraId="001AC1AA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Os alunos que se encontram abrangidos pelo documento Guia para Aplicação de Adaptações na Realização de Provas e Exames - JNE 2023</w:t>
      </w:r>
      <w:r>
        <w:rPr>
          <w:rFonts w:ascii="Twentieth Century" w:eastAsia="Twentieth Century" w:hAnsi="Twentieth Century" w:cs="Twentieth Century"/>
          <w:b/>
          <w:i/>
          <w:sz w:val="24"/>
          <w:szCs w:val="24"/>
        </w:rPr>
        <w:t xml:space="preserve">, </w:t>
      </w:r>
      <w:r>
        <w:rPr>
          <w:rFonts w:ascii="Twentieth Century" w:eastAsia="Twentieth Century" w:hAnsi="Twentieth Century" w:cs="Twentieth Century"/>
          <w:sz w:val="24"/>
          <w:szCs w:val="24"/>
        </w:rPr>
        <w:t>emanado pelo Júri Nacional de Exames realizam esta prova, com medidas contempladas nos seus Relatórios Técnicos-Pedagógicos, de acordo com a Declaração de Retificação n.º 47/2019, de 3 de outubro, que altera a Lei n.º 116/2019 de 13 de setembro, primeira alteração ao Decreto-Lei n.º 54/2018 de 6 de julho, que estabelece o regime jurídico da educação inclusiva.</w:t>
      </w:r>
    </w:p>
    <w:p w14:paraId="1D843C39" w14:textId="77777777" w:rsidR="00E1112A" w:rsidRDefault="00E1112A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750729A7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Deve ainda ser tida em consideração a Portaria n.º 59/2019, de 28 de agosto e o Despacho Normativo n.º 4-B/2023, de 3 de abril.</w:t>
      </w:r>
    </w:p>
    <w:p w14:paraId="2ED5D6D1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As informações apresentadas neste documento não dispensam a consulta da legislação referida, bem como do referencial-base das Aprendizagens Essenciais, com especial enfoque nas áreas de competência inscritas no Perfil dos Alunos à Saída da Escolaridade Obrigatória.</w:t>
      </w:r>
    </w:p>
    <w:p w14:paraId="5C9EE02C" w14:textId="77777777" w:rsidR="00E1112A" w:rsidRDefault="00E1112A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560AE66D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O presente documento dá a conhecer os seguintes aspetos relativos à prova:</w:t>
      </w:r>
    </w:p>
    <w:p w14:paraId="7B36D9C2" w14:textId="77777777" w:rsidR="00E1112A" w:rsidRDefault="00C84B19">
      <w:pPr>
        <w:widowControl w:val="0"/>
        <w:numPr>
          <w:ilvl w:val="0"/>
          <w:numId w:val="1"/>
        </w:numPr>
        <w:tabs>
          <w:tab w:val="left" w:pos="374"/>
        </w:tabs>
        <w:spacing w:after="0" w:line="360" w:lineRule="auto"/>
        <w:ind w:left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231F20"/>
          <w:sz w:val="24"/>
          <w:szCs w:val="24"/>
        </w:rPr>
        <w:t>Objeto de avaliação</w:t>
      </w:r>
    </w:p>
    <w:p w14:paraId="024CD27A" w14:textId="77777777" w:rsidR="00E1112A" w:rsidRDefault="00C84B19">
      <w:pPr>
        <w:widowControl w:val="0"/>
        <w:numPr>
          <w:ilvl w:val="0"/>
          <w:numId w:val="1"/>
        </w:numPr>
        <w:tabs>
          <w:tab w:val="left" w:pos="374"/>
        </w:tabs>
        <w:spacing w:after="0" w:line="360" w:lineRule="auto"/>
        <w:ind w:left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231F20"/>
          <w:sz w:val="24"/>
          <w:szCs w:val="24"/>
        </w:rPr>
        <w:t>Características e estrutura</w:t>
      </w:r>
    </w:p>
    <w:p w14:paraId="5833547B" w14:textId="77777777" w:rsidR="00E1112A" w:rsidRDefault="00C84B19">
      <w:pPr>
        <w:widowControl w:val="0"/>
        <w:numPr>
          <w:ilvl w:val="0"/>
          <w:numId w:val="1"/>
        </w:numPr>
        <w:tabs>
          <w:tab w:val="left" w:pos="374"/>
        </w:tabs>
        <w:spacing w:after="0" w:line="360" w:lineRule="auto"/>
        <w:ind w:left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231F20"/>
          <w:sz w:val="24"/>
          <w:szCs w:val="24"/>
        </w:rPr>
        <w:t>Critérios gerais de classificação</w:t>
      </w:r>
    </w:p>
    <w:p w14:paraId="443CDB70" w14:textId="77777777" w:rsidR="00E1112A" w:rsidRDefault="00C84B19">
      <w:pPr>
        <w:widowControl w:val="0"/>
        <w:numPr>
          <w:ilvl w:val="0"/>
          <w:numId w:val="1"/>
        </w:numPr>
        <w:tabs>
          <w:tab w:val="left" w:pos="374"/>
        </w:tabs>
        <w:spacing w:after="0" w:line="360" w:lineRule="auto"/>
        <w:ind w:left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231F20"/>
          <w:sz w:val="24"/>
          <w:szCs w:val="24"/>
        </w:rPr>
        <w:t xml:space="preserve">Material </w:t>
      </w:r>
    </w:p>
    <w:p w14:paraId="6DBB1F9E" w14:textId="77777777" w:rsidR="00E1112A" w:rsidRDefault="00C84B19">
      <w:pPr>
        <w:widowControl w:val="0"/>
        <w:numPr>
          <w:ilvl w:val="0"/>
          <w:numId w:val="1"/>
        </w:numPr>
        <w:tabs>
          <w:tab w:val="left" w:pos="374"/>
        </w:tabs>
        <w:spacing w:after="0" w:line="360" w:lineRule="auto"/>
        <w:ind w:left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231F20"/>
          <w:sz w:val="24"/>
          <w:szCs w:val="24"/>
        </w:rPr>
        <w:t xml:space="preserve">Duração </w:t>
      </w:r>
    </w:p>
    <w:p w14:paraId="3EB8D8A0" w14:textId="77777777" w:rsidR="00E1112A" w:rsidRDefault="00E1112A">
      <w:pPr>
        <w:widowControl w:val="0"/>
        <w:tabs>
          <w:tab w:val="left" w:pos="374"/>
        </w:tabs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489DCC8C" w14:textId="3B88B54C" w:rsidR="00E1112A" w:rsidRPr="00A83786" w:rsidRDefault="00C84B19" w:rsidP="00A83786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lastRenderedPageBreak/>
        <w:t>Este documento deve ser dado a conhecer aos encarregados de educação e aos alunos. O mesmo deve ser analisado com os alunos, para que fiquem devidamente informados sobre a prova que irão realizar.</w:t>
      </w:r>
    </w:p>
    <w:p w14:paraId="68BD00E1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  <w:t>Objeto de avaliação</w:t>
      </w:r>
    </w:p>
    <w:p w14:paraId="35D7B8C4" w14:textId="77777777" w:rsidR="00E1112A" w:rsidRDefault="00C84B19">
      <w:pPr>
        <w:widowControl w:val="0"/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A prova tem por referência o Planificação Anual da disciplina de Fotografia e Vídeo e permite avaliar a aprendizagem passível de avaliação numa prova escrita e prática de duração limitada. A prova abordará três temas: História e evolução da Fotografia, Regras e enquadramento e Técnica, conforme assim se especifica:</w:t>
      </w:r>
    </w:p>
    <w:tbl>
      <w:tblPr>
        <w:tblStyle w:val="a"/>
        <w:tblW w:w="103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1"/>
        <w:gridCol w:w="6064"/>
      </w:tblGrid>
      <w:tr w:rsidR="00E1112A" w14:paraId="0DD672E6" w14:textId="77777777">
        <w:tc>
          <w:tcPr>
            <w:tcW w:w="10315" w:type="dxa"/>
            <w:gridSpan w:val="2"/>
          </w:tcPr>
          <w:p w14:paraId="2FD808CD" w14:textId="77777777" w:rsidR="00E1112A" w:rsidRDefault="00C84B19">
            <w:pPr>
              <w:widowControl w:val="0"/>
              <w:spacing w:line="360" w:lineRule="auto"/>
              <w:ind w:firstLine="502"/>
              <w:jc w:val="center"/>
              <w:rPr>
                <w:rFonts w:ascii="Twentieth Century" w:eastAsia="Twentieth Century" w:hAnsi="Twentieth Century" w:cs="Twentieth Century"/>
                <w:b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b/>
                <w:sz w:val="24"/>
                <w:szCs w:val="24"/>
              </w:rPr>
              <w:t>Conteúdos</w:t>
            </w:r>
          </w:p>
        </w:tc>
      </w:tr>
      <w:tr w:rsidR="00E1112A" w14:paraId="7750968A" w14:textId="77777777">
        <w:tc>
          <w:tcPr>
            <w:tcW w:w="4251" w:type="dxa"/>
          </w:tcPr>
          <w:p w14:paraId="77028D89" w14:textId="77777777" w:rsidR="00E1112A" w:rsidRDefault="00E1112A">
            <w:pPr>
              <w:spacing w:line="360" w:lineRule="auto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</w:p>
          <w:p w14:paraId="37FCB283" w14:textId="77777777" w:rsidR="00E1112A" w:rsidRDefault="00C84B19">
            <w:pPr>
              <w:spacing w:line="360" w:lineRule="auto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História e evolução da Fotografia</w:t>
            </w:r>
          </w:p>
          <w:p w14:paraId="74591B3C" w14:textId="77777777" w:rsidR="00E1112A" w:rsidRDefault="00E1112A">
            <w:pPr>
              <w:widowControl w:val="0"/>
              <w:spacing w:line="360" w:lineRule="auto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</w:p>
        </w:tc>
        <w:tc>
          <w:tcPr>
            <w:tcW w:w="6064" w:type="dxa"/>
          </w:tcPr>
          <w:p w14:paraId="1976D039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Conhecer os conceitos e terminologias da Fotografia;</w:t>
            </w:r>
          </w:p>
          <w:p w14:paraId="7E1EE542" w14:textId="77777777" w:rsidR="00E1112A" w:rsidRDefault="00C84B19">
            <w:pPr>
              <w:spacing w:line="360" w:lineRule="auto"/>
              <w:ind w:firstLine="141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 xml:space="preserve">Identificar momentos e os precursores da evolução do processo fotográfico; </w:t>
            </w:r>
          </w:p>
          <w:p w14:paraId="024E0AEB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Reconhecer os principais componentes de uma máquina fotográfica;</w:t>
            </w:r>
          </w:p>
          <w:p w14:paraId="07058941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Compreender a formação de uma imagem numa máquina fotográfica digital;</w:t>
            </w:r>
          </w:p>
          <w:p w14:paraId="7A6F38B6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Entender a Fotografia como um meio informativo e / ou artístico;</w:t>
            </w:r>
          </w:p>
          <w:p w14:paraId="17DF947F" w14:textId="77777777" w:rsidR="00E1112A" w:rsidRDefault="00C84B19">
            <w:pPr>
              <w:widowControl w:val="0"/>
              <w:spacing w:line="360" w:lineRule="auto"/>
              <w:ind w:firstLine="141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Explorar a dinâmica dos brinquedos óticos</w:t>
            </w:r>
          </w:p>
        </w:tc>
      </w:tr>
      <w:tr w:rsidR="00E1112A" w14:paraId="41BDBDD7" w14:textId="77777777">
        <w:tc>
          <w:tcPr>
            <w:tcW w:w="4251" w:type="dxa"/>
          </w:tcPr>
          <w:p w14:paraId="69AC1422" w14:textId="77777777" w:rsidR="00E1112A" w:rsidRDefault="00C84B19">
            <w:pPr>
              <w:widowControl w:val="0"/>
              <w:spacing w:line="360" w:lineRule="auto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Regras e enquadramentos</w:t>
            </w:r>
          </w:p>
        </w:tc>
        <w:tc>
          <w:tcPr>
            <w:tcW w:w="6064" w:type="dxa"/>
          </w:tcPr>
          <w:p w14:paraId="098D3AB1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Saber aplicar os fatores que determinam a qualidade de uma fotografia (enquadramento e iluminação);</w:t>
            </w:r>
          </w:p>
          <w:p w14:paraId="0A113FB7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 xml:space="preserve">Conceber e organizar com equilíbrio os espaços bidimensionais dominando regras elementares da composição; </w:t>
            </w:r>
          </w:p>
          <w:p w14:paraId="52C617C9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Reconhecer, através da experimentação plástica, a arte como expressão do sentimento e do conhecimento;</w:t>
            </w:r>
          </w:p>
          <w:p w14:paraId="148B5EBA" w14:textId="77777777" w:rsidR="00E1112A" w:rsidRDefault="00C84B19">
            <w:pPr>
              <w:spacing w:line="360" w:lineRule="auto"/>
              <w:ind w:firstLine="141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Ler e interpretar narrativas nas diferentes linguagens visuais.</w:t>
            </w:r>
          </w:p>
        </w:tc>
      </w:tr>
      <w:tr w:rsidR="00E1112A" w14:paraId="361FE44E" w14:textId="77777777">
        <w:tc>
          <w:tcPr>
            <w:tcW w:w="4251" w:type="dxa"/>
          </w:tcPr>
          <w:p w14:paraId="2728CAC2" w14:textId="77777777" w:rsidR="00E1112A" w:rsidRDefault="00C84B19">
            <w:pPr>
              <w:widowControl w:val="0"/>
              <w:spacing w:line="360" w:lineRule="auto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Técnica/ tratamento e edição de imagem</w:t>
            </w:r>
          </w:p>
        </w:tc>
        <w:tc>
          <w:tcPr>
            <w:tcW w:w="6064" w:type="dxa"/>
          </w:tcPr>
          <w:p w14:paraId="62F72C4C" w14:textId="77777777" w:rsidR="00E1112A" w:rsidRDefault="00C84B19">
            <w:pPr>
              <w:widowControl w:val="0"/>
              <w:spacing w:line="360" w:lineRule="auto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Manifestar expressividade nos seus trabalhos, selecionando, de forma intencional, conceitos, temáticas, materiais, suportes e técnicas.</w:t>
            </w:r>
          </w:p>
          <w:p w14:paraId="3F6B45D0" w14:textId="77777777" w:rsidR="00E1112A" w:rsidRDefault="00C84B19">
            <w:pPr>
              <w:widowControl w:val="0"/>
              <w:spacing w:line="360" w:lineRule="auto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lastRenderedPageBreak/>
              <w:t xml:space="preserve">Justificar a intencionalidade das suas composições, recorrendo a critérios de ordem estética (vivências, experiências e conhecimentos). </w:t>
            </w:r>
          </w:p>
          <w:p w14:paraId="11620D1D" w14:textId="77777777" w:rsidR="00E1112A" w:rsidRDefault="00C84B19">
            <w:pPr>
              <w:widowControl w:val="0"/>
              <w:spacing w:line="360" w:lineRule="auto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 xml:space="preserve">Organizar exposições em diferentes formatos – físicos e/ou digitais –, individuais ou de grupo, selecionando trabalhos tendo por base os processos de análise, síntese e comparação, que conjugam as noções de composição e de harmonia, de acordo com o objetivo escolhido/proposto. </w:t>
            </w:r>
          </w:p>
          <w:p w14:paraId="799DCF1F" w14:textId="77777777" w:rsidR="00E1112A" w:rsidRDefault="00C84B19">
            <w:pPr>
              <w:spacing w:line="360" w:lineRule="auto"/>
              <w:ind w:firstLine="141"/>
              <w:jc w:val="both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 xml:space="preserve">Explorar o processo de edição de imagem. </w:t>
            </w:r>
          </w:p>
        </w:tc>
      </w:tr>
    </w:tbl>
    <w:p w14:paraId="2D5D30D2" w14:textId="77777777" w:rsidR="00E1112A" w:rsidRDefault="00E111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14:paraId="6B26ADF8" w14:textId="0CD9EA9E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  <w:r w:rsidRPr="005F1E8E"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  <w:t>Caracte</w:t>
      </w:r>
      <w:r w:rsidR="005F1E8E" w:rsidRPr="005F1E8E"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  <w:t>rísticas e estrutura</w:t>
      </w:r>
    </w:p>
    <w:p w14:paraId="30371146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 prova apresenta 3 grupos de resposta.</w:t>
      </w:r>
    </w:p>
    <w:p w14:paraId="4B9E6792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 xml:space="preserve">A prova é realizada no enunciado; à exceção da questão prática, que se realiza no computador. </w:t>
      </w:r>
    </w:p>
    <w:p w14:paraId="16F82E46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Todas as questões envolvem problemas de representação, são de resolução exclusivamente gráfica e envolvem a mobilização de aprendizagens relativas a mais do que um dos temas do programa.</w:t>
      </w:r>
    </w:p>
    <w:p w14:paraId="4A13EBED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Não são pedidos, nem considerados como forma de resposta, quaisquer tipos de legendas ou de relatórios.</w:t>
      </w:r>
    </w:p>
    <w:p w14:paraId="794EBB49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A prova é cotada para 100 pontos.</w:t>
      </w:r>
    </w:p>
    <w:p w14:paraId="5C73D7B4" w14:textId="77777777" w:rsidR="00E1112A" w:rsidRDefault="00E1112A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6326FBB7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  <w:t>Critérios gerais de classificação</w:t>
      </w:r>
    </w:p>
    <w:p w14:paraId="699387D3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 xml:space="preserve">     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 classificação a atribuir a cada resposta resulta da aplicação dos critérios gerais e dos critérios específicos de classificação apresentados para cada item e é expressa por um número inteiro.</w:t>
      </w:r>
    </w:p>
    <w:p w14:paraId="5BCE9C84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As respostas ilegíveis ou que não possam ser claramente identificadas são classificadas com 0 pontos. </w:t>
      </w:r>
    </w:p>
    <w:p w14:paraId="20575F41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Se o examinado responder a um item mais do que uma vez, não eliminando </w:t>
      </w:r>
      <w:r>
        <w:rPr>
          <w:rFonts w:ascii="Twentieth Century" w:eastAsia="Twentieth Century" w:hAnsi="Twentieth Century" w:cs="Twentieth Century"/>
          <w:sz w:val="24"/>
          <w:szCs w:val="24"/>
        </w:rPr>
        <w:t>inequivocamente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a(s) resposta(s) que não deseja que seja(m) classificada(s), será classificada a resposta que surge em primeiro lugar.</w:t>
      </w:r>
    </w:p>
    <w:p w14:paraId="52EDF849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As respostas aos itens são classificadas de forma dicotómica, por níveis de desempenho ou por etapas, de acordo com os critérios específicos. A cada nível de desempenho e a cada etapa corresponde uma dada pontuação. </w:t>
      </w:r>
    </w:p>
    <w:p w14:paraId="0E5AE0CA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 classificação a atribuir às respostas aos itens de construção pode estar sujeita a desvalorizações de acordo com os critérios gerais e específicos.</w:t>
      </w:r>
    </w:p>
    <w:p w14:paraId="4F6E57CF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lastRenderedPageBreak/>
        <w:t xml:space="preserve">As respostas que apresentam apenas o </w:t>
      </w:r>
      <w:proofErr w:type="gramStart"/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resultado final</w:t>
      </w:r>
      <w:proofErr w:type="gramEnd"/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, quando a resolução do item exige a apresentação de cálculos ou de justificações, são classificadas com 0 pontos.</w:t>
      </w:r>
    </w:p>
    <w:p w14:paraId="572B8367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Todas as respostas devem ser dadas nas folhas da prova, o examinando apenas pode usar, como material de escrita, caneta ou esferográfica de tinta indelével. </w:t>
      </w:r>
    </w:p>
    <w:p w14:paraId="3B5CF324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O lápis serve, apenas, como material de apoio ao desenvolvimento de alguns itens.</w:t>
      </w:r>
    </w:p>
    <w:p w14:paraId="77E8750E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As respostas ilegíveis ou que não possam ser claramente identificadas são classificadas com zero pontos.</w:t>
      </w:r>
    </w:p>
    <w:p w14:paraId="2BDF9725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Nos itens de verdadeiro/falso (V/F), serão anuladas as respostas que indiquem todas as opções como verdadeiras ou como falsas. Nos itens relativos </w:t>
      </w:r>
      <w:r>
        <w:rPr>
          <w:rFonts w:ascii="Twentieth Century" w:eastAsia="Twentieth Century" w:hAnsi="Twentieth Century" w:cs="Twentieth Century"/>
          <w:sz w:val="24"/>
          <w:szCs w:val="24"/>
        </w:rPr>
        <w:t>à legendagem,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serão anuladas as respostas que usarem a sequência que surge no enunciado da questão. As respostas que contenham elementos que se contradigam serão penalizadas, sendo anulada as cotações parciais dos elementos contraditórios. Em caso de engano, o aluno deve riscar de forma inequívoca aquilo que pretende que não seja classificado. </w:t>
      </w:r>
    </w:p>
    <w:p w14:paraId="3BB62010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Nos itens de componente prática será avaliado, por observação direta, o processo de execução para que o examinado não seja somente avaliado pelo produto final, como um todo. </w:t>
      </w:r>
    </w:p>
    <w:p w14:paraId="54F8D370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Na aplicação dos critérios de classificação, deverá ter-se presente que o examinando não pode ser penalizado duas vezes pela mesma “falha”, devendo ter-se em conta a coerência do trabalho desenvolvido pelo examinando. Todas as situações de dúvida deverão ser decididas em benefício do examinando.</w:t>
      </w:r>
    </w:p>
    <w:p w14:paraId="68D4506B" w14:textId="77777777" w:rsidR="00E1112A" w:rsidRDefault="00E1112A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341E05D1" w14:textId="77777777" w:rsidR="00E1112A" w:rsidRDefault="00C84B19">
      <w:pPr>
        <w:spacing w:after="0" w:line="360" w:lineRule="auto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A estrutura da prova sintetiza-se no </w:t>
      </w: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>Quadro 1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.</w:t>
      </w:r>
    </w:p>
    <w:p w14:paraId="7ED200CF" w14:textId="77777777" w:rsidR="00E1112A" w:rsidRDefault="00C84B19">
      <w:pPr>
        <w:spacing w:after="0" w:line="360" w:lineRule="auto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>Quadro 1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– Domínios, conteúdos na prova, tipos de itens possíveis e cotação.</w:t>
      </w:r>
    </w:p>
    <w:tbl>
      <w:tblPr>
        <w:tblStyle w:val="a0"/>
        <w:tblW w:w="103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3699"/>
        <w:gridCol w:w="1832"/>
        <w:gridCol w:w="1993"/>
      </w:tblGrid>
      <w:tr w:rsidR="00E1112A" w14:paraId="522D0368" w14:textId="77777777">
        <w:trPr>
          <w:trHeight w:val="683"/>
        </w:trPr>
        <w:tc>
          <w:tcPr>
            <w:tcW w:w="2837" w:type="dxa"/>
            <w:shd w:val="clear" w:color="auto" w:fill="BFBFBF"/>
            <w:vAlign w:val="center"/>
          </w:tcPr>
          <w:p w14:paraId="5975F5E4" w14:textId="77777777" w:rsidR="00E1112A" w:rsidRDefault="00C84B19">
            <w:pPr>
              <w:spacing w:after="0" w:line="360" w:lineRule="auto"/>
              <w:ind w:firstLine="464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Domínios</w:t>
            </w:r>
          </w:p>
        </w:tc>
        <w:tc>
          <w:tcPr>
            <w:tcW w:w="3699" w:type="dxa"/>
            <w:shd w:val="clear" w:color="auto" w:fill="BFBFBF"/>
            <w:vAlign w:val="center"/>
          </w:tcPr>
          <w:p w14:paraId="1D670CDD" w14:textId="77777777" w:rsidR="00E1112A" w:rsidRDefault="00C84B19">
            <w:pPr>
              <w:tabs>
                <w:tab w:val="left" w:pos="505"/>
              </w:tabs>
              <w:spacing w:after="0" w:line="360" w:lineRule="auto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  <w:highlight w:val="yellow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Conteúdos</w:t>
            </w:r>
          </w:p>
        </w:tc>
        <w:tc>
          <w:tcPr>
            <w:tcW w:w="1832" w:type="dxa"/>
            <w:shd w:val="clear" w:color="auto" w:fill="BFBFBF"/>
            <w:vAlign w:val="center"/>
          </w:tcPr>
          <w:p w14:paraId="15653661" w14:textId="77777777" w:rsidR="00E1112A" w:rsidRDefault="00C84B19">
            <w:pPr>
              <w:spacing w:after="0" w:line="360" w:lineRule="auto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  <w:highlight w:val="yellow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Tipos de itens possíveis</w:t>
            </w:r>
          </w:p>
        </w:tc>
        <w:tc>
          <w:tcPr>
            <w:tcW w:w="1993" w:type="dxa"/>
            <w:shd w:val="clear" w:color="auto" w:fill="BFBFBF"/>
            <w:vAlign w:val="center"/>
          </w:tcPr>
          <w:p w14:paraId="66E3F4A3" w14:textId="77777777" w:rsidR="00E1112A" w:rsidRDefault="00C84B19">
            <w:pPr>
              <w:spacing w:after="0" w:line="360" w:lineRule="auto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Cotação (em pontos)</w:t>
            </w:r>
          </w:p>
        </w:tc>
      </w:tr>
      <w:tr w:rsidR="00E1112A" w14:paraId="04122F70" w14:textId="77777777">
        <w:trPr>
          <w:trHeight w:val="925"/>
        </w:trPr>
        <w:tc>
          <w:tcPr>
            <w:tcW w:w="2837" w:type="dxa"/>
            <w:vMerge w:val="restart"/>
            <w:vAlign w:val="center"/>
          </w:tcPr>
          <w:p w14:paraId="23E87FBB" w14:textId="77777777" w:rsidR="00E1112A" w:rsidRDefault="00C84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  <w:t>Apropriação e reflexão</w:t>
            </w:r>
          </w:p>
          <w:p w14:paraId="2978DF55" w14:textId="77777777" w:rsidR="00E1112A" w:rsidRDefault="00C84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  <w:t>Interpretação e comunicação</w:t>
            </w:r>
          </w:p>
          <w:p w14:paraId="1D1C94C6" w14:textId="77777777" w:rsidR="00E1112A" w:rsidRDefault="00C84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  <w:t>Experimentação e criação</w:t>
            </w:r>
          </w:p>
        </w:tc>
        <w:tc>
          <w:tcPr>
            <w:tcW w:w="3699" w:type="dxa"/>
          </w:tcPr>
          <w:p w14:paraId="6C84420C" w14:textId="77777777" w:rsidR="00E1112A" w:rsidRDefault="00C84B19">
            <w:pPr>
              <w:tabs>
                <w:tab w:val="left" w:pos="295"/>
              </w:tabs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i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História e evolução da Fotografia</w:t>
            </w:r>
          </w:p>
        </w:tc>
        <w:tc>
          <w:tcPr>
            <w:tcW w:w="1832" w:type="dxa"/>
          </w:tcPr>
          <w:p w14:paraId="28E6C990" w14:textId="77777777" w:rsidR="00E1112A" w:rsidRDefault="00C84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  <w:t>Grupo 1</w:t>
            </w:r>
          </w:p>
        </w:tc>
        <w:tc>
          <w:tcPr>
            <w:tcW w:w="1993" w:type="dxa"/>
          </w:tcPr>
          <w:p w14:paraId="38CF4EE3" w14:textId="77777777" w:rsidR="00E1112A" w:rsidRDefault="00C84B19">
            <w:pPr>
              <w:spacing w:after="0" w:line="360" w:lineRule="auto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30 Pontos</w:t>
            </w:r>
          </w:p>
        </w:tc>
      </w:tr>
      <w:tr w:rsidR="00E1112A" w14:paraId="79ACAC4B" w14:textId="77777777">
        <w:trPr>
          <w:trHeight w:val="925"/>
        </w:trPr>
        <w:tc>
          <w:tcPr>
            <w:tcW w:w="2837" w:type="dxa"/>
            <w:vMerge/>
            <w:vAlign w:val="center"/>
          </w:tcPr>
          <w:p w14:paraId="48B28E6A" w14:textId="77777777" w:rsidR="00E1112A" w:rsidRDefault="00E1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</w:p>
        </w:tc>
        <w:tc>
          <w:tcPr>
            <w:tcW w:w="3699" w:type="dxa"/>
          </w:tcPr>
          <w:p w14:paraId="050E513A" w14:textId="77777777" w:rsidR="00E1112A" w:rsidRDefault="00C84B19">
            <w:pPr>
              <w:tabs>
                <w:tab w:val="left" w:pos="295"/>
              </w:tabs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Regras e enquadramentos</w:t>
            </w:r>
          </w:p>
        </w:tc>
        <w:tc>
          <w:tcPr>
            <w:tcW w:w="1832" w:type="dxa"/>
          </w:tcPr>
          <w:p w14:paraId="114ED3F2" w14:textId="77777777" w:rsidR="00E1112A" w:rsidRDefault="00C84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  <w:t>Grupo 2</w:t>
            </w:r>
          </w:p>
        </w:tc>
        <w:tc>
          <w:tcPr>
            <w:tcW w:w="1993" w:type="dxa"/>
          </w:tcPr>
          <w:p w14:paraId="1825B565" w14:textId="77777777" w:rsidR="00E1112A" w:rsidRDefault="00C84B19">
            <w:pPr>
              <w:spacing w:after="0" w:line="360" w:lineRule="auto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30 Pontos</w:t>
            </w:r>
          </w:p>
        </w:tc>
      </w:tr>
      <w:tr w:rsidR="00E1112A" w14:paraId="1A4D9953" w14:textId="77777777">
        <w:trPr>
          <w:trHeight w:val="925"/>
        </w:trPr>
        <w:tc>
          <w:tcPr>
            <w:tcW w:w="2837" w:type="dxa"/>
            <w:vMerge/>
            <w:vAlign w:val="center"/>
          </w:tcPr>
          <w:p w14:paraId="705AB9D2" w14:textId="77777777" w:rsidR="00E1112A" w:rsidRDefault="00E1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397A1CD" w14:textId="77777777" w:rsidR="00E1112A" w:rsidRDefault="00C84B19">
            <w:pPr>
              <w:tabs>
                <w:tab w:val="left" w:pos="295"/>
              </w:tabs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Técnica</w:t>
            </w:r>
          </w:p>
        </w:tc>
        <w:tc>
          <w:tcPr>
            <w:tcW w:w="1832" w:type="dxa"/>
          </w:tcPr>
          <w:p w14:paraId="4B2720B2" w14:textId="77777777" w:rsidR="00E1112A" w:rsidRDefault="00C84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142"/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4"/>
                <w:szCs w:val="24"/>
              </w:rPr>
              <w:t>Grupo 3</w:t>
            </w:r>
          </w:p>
        </w:tc>
        <w:tc>
          <w:tcPr>
            <w:tcW w:w="1993" w:type="dxa"/>
          </w:tcPr>
          <w:p w14:paraId="371E23BB" w14:textId="77777777" w:rsidR="00E1112A" w:rsidRDefault="00C84B19">
            <w:pPr>
              <w:spacing w:after="0" w:line="360" w:lineRule="auto"/>
              <w:jc w:val="center"/>
              <w:rPr>
                <w:rFonts w:ascii="Twentieth Century" w:eastAsia="Twentieth Century" w:hAnsi="Twentieth Century" w:cs="Twentieth Century"/>
                <w:sz w:val="24"/>
                <w:szCs w:val="24"/>
              </w:rPr>
            </w:pPr>
            <w:r>
              <w:rPr>
                <w:rFonts w:ascii="Twentieth Century" w:eastAsia="Twentieth Century" w:hAnsi="Twentieth Century" w:cs="Twentieth Century"/>
                <w:sz w:val="24"/>
                <w:szCs w:val="24"/>
              </w:rPr>
              <w:t>40 Pontos</w:t>
            </w:r>
          </w:p>
        </w:tc>
      </w:tr>
    </w:tbl>
    <w:p w14:paraId="2DFFB735" w14:textId="77777777" w:rsidR="00E1112A" w:rsidRDefault="00E111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</w:p>
    <w:p w14:paraId="46242C9E" w14:textId="77777777" w:rsidR="00E1112A" w:rsidRDefault="00E111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</w:p>
    <w:p w14:paraId="74D0845C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  <w:t>Material</w:t>
      </w:r>
    </w:p>
    <w:p w14:paraId="7E72AAE3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No preenchimento do cabeçalho, o examinando apenas pode usar, como material de escrita, caneta ou esferográfica de tinta indelével. </w:t>
      </w:r>
    </w:p>
    <w:p w14:paraId="1012D535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Na realização dos traçados gráficos deverá utilizar lápis de grafite/lapiseira e/ou lápis de cor, de acordo com a tipologia dos exercícios. </w:t>
      </w:r>
    </w:p>
    <w:p w14:paraId="3D8A06C7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As respostas são registadas em folhas de papel A4 fornecidas pelo estabelecimento de ensino.</w:t>
      </w:r>
    </w:p>
    <w:p w14:paraId="7332E6CB" w14:textId="77777777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O examinando deve ser portador do seguinte material: </w:t>
      </w:r>
    </w:p>
    <w:p w14:paraId="02CCE62C" w14:textId="77777777" w:rsidR="00E1112A" w:rsidRDefault="00C84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Caneta ou esferográfica de tinta indelével;</w:t>
      </w:r>
    </w:p>
    <w:p w14:paraId="09A6D32B" w14:textId="77777777" w:rsidR="00E1112A" w:rsidRDefault="00C84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Lápis de dureza n.º 2 ou porta minas (HB);</w:t>
      </w:r>
    </w:p>
    <w:p w14:paraId="5FFFE067" w14:textId="77777777" w:rsidR="00E1112A" w:rsidRDefault="00C84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Borracha;</w:t>
      </w:r>
    </w:p>
    <w:p w14:paraId="7650C0B2" w14:textId="77777777" w:rsidR="00E1112A" w:rsidRDefault="00C84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Tesoura;</w:t>
      </w:r>
    </w:p>
    <w:p w14:paraId="12FD7629" w14:textId="77777777" w:rsidR="00E1112A" w:rsidRDefault="00C84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Afia;</w:t>
      </w:r>
    </w:p>
    <w:p w14:paraId="20AAC25C" w14:textId="77777777" w:rsidR="00E1112A" w:rsidRDefault="00C84B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Não é permitido o uso de corretor.</w:t>
      </w:r>
    </w:p>
    <w:p w14:paraId="51EF177E" w14:textId="2CFB9AE9" w:rsidR="00E1112A" w:rsidRDefault="00C84B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Todo o material referente ao processo de edição de imagem é fornecido pelo estabelecimento de ensino</w:t>
      </w:r>
      <w:r w:rsidR="009357DF"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(1 computador por aluno)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.</w:t>
      </w:r>
    </w:p>
    <w:p w14:paraId="5C650EF8" w14:textId="77777777" w:rsidR="00E1112A" w:rsidRDefault="00E111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14:paraId="2BFC23E6" w14:textId="77777777" w:rsidR="00E1112A" w:rsidRDefault="00C84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  <w:highlight w:val="yellow"/>
          <w:u w:val="single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     </w:t>
      </w: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  <w:t>Duração</w:t>
      </w:r>
    </w:p>
    <w:p w14:paraId="02FA064D" w14:textId="77777777" w:rsidR="00E1112A" w:rsidRDefault="00C84B19">
      <w:pPr>
        <w:spacing w:after="0" w:line="360" w:lineRule="auto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 prova tem a duração de 90 minutos (mais 30 minutos de tolerância).</w:t>
      </w:r>
    </w:p>
    <w:p w14:paraId="4CD05FFC" w14:textId="77777777" w:rsidR="00E1112A" w:rsidRDefault="00E111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</w:p>
    <w:p w14:paraId="70FF203C" w14:textId="77777777" w:rsidR="00E1112A" w:rsidRDefault="00E111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</w:p>
    <w:p w14:paraId="06849EE7" w14:textId="77777777" w:rsidR="00E1112A" w:rsidRDefault="00E111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wentieth Century" w:eastAsia="Twentieth Century" w:hAnsi="Twentieth Century" w:cs="Twentieth Century"/>
          <w:b/>
          <w:color w:val="000000"/>
          <w:sz w:val="24"/>
          <w:szCs w:val="24"/>
          <w:u w:val="single"/>
        </w:rPr>
      </w:pPr>
    </w:p>
    <w:sectPr w:rsidR="00E1112A">
      <w:footerReference w:type="default" r:id="rId10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0083" w14:textId="77777777" w:rsidR="009E0E0B" w:rsidRDefault="009E0E0B">
      <w:pPr>
        <w:spacing w:after="0" w:line="240" w:lineRule="auto"/>
      </w:pPr>
      <w:r>
        <w:separator/>
      </w:r>
    </w:p>
  </w:endnote>
  <w:endnote w:type="continuationSeparator" w:id="0">
    <w:p w14:paraId="1B9B5D23" w14:textId="77777777" w:rsidR="009E0E0B" w:rsidRDefault="009E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entieth Centur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626F" w14:textId="77777777" w:rsidR="00E1112A" w:rsidRDefault="00C84B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24"/>
        <w:szCs w:val="24"/>
      </w:rPr>
    </w:pPr>
    <w:r>
      <w:rPr>
        <w:color w:val="000000"/>
      </w:rPr>
      <w:t xml:space="preserve">Prova XX                                                                                                                                                           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3623E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3623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92CF139" w14:textId="77777777" w:rsidR="00E1112A" w:rsidRDefault="00E111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FE33" w14:textId="77777777" w:rsidR="009E0E0B" w:rsidRDefault="009E0E0B">
      <w:pPr>
        <w:spacing w:after="0" w:line="240" w:lineRule="auto"/>
      </w:pPr>
      <w:r>
        <w:separator/>
      </w:r>
    </w:p>
  </w:footnote>
  <w:footnote w:type="continuationSeparator" w:id="0">
    <w:p w14:paraId="6EEAF378" w14:textId="77777777" w:rsidR="009E0E0B" w:rsidRDefault="009E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DAB"/>
    <w:multiLevelType w:val="multilevel"/>
    <w:tmpl w:val="B15A52BC"/>
    <w:lvl w:ilvl="0">
      <w:start w:val="1"/>
      <w:numFmt w:val="bullet"/>
      <w:lvlText w:val="●"/>
      <w:lvlJc w:val="left"/>
      <w:pPr>
        <w:ind w:left="-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AF46AF"/>
    <w:multiLevelType w:val="multilevel"/>
    <w:tmpl w:val="F828A958"/>
    <w:lvl w:ilvl="0">
      <w:start w:val="1"/>
      <w:numFmt w:val="bullet"/>
      <w:lvlText w:val="●"/>
      <w:lvlJc w:val="left"/>
      <w:pPr>
        <w:ind w:left="373" w:hanging="253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1274" w:hanging="252"/>
      </w:pPr>
    </w:lvl>
    <w:lvl w:ilvl="2">
      <w:start w:val="1"/>
      <w:numFmt w:val="bullet"/>
      <w:lvlText w:val="•"/>
      <w:lvlJc w:val="left"/>
      <w:pPr>
        <w:ind w:left="2169" w:hanging="253"/>
      </w:pPr>
    </w:lvl>
    <w:lvl w:ilvl="3">
      <w:start w:val="1"/>
      <w:numFmt w:val="bullet"/>
      <w:lvlText w:val="•"/>
      <w:lvlJc w:val="left"/>
      <w:pPr>
        <w:ind w:left="3063" w:hanging="253"/>
      </w:pPr>
    </w:lvl>
    <w:lvl w:ilvl="4">
      <w:start w:val="1"/>
      <w:numFmt w:val="bullet"/>
      <w:lvlText w:val="•"/>
      <w:lvlJc w:val="left"/>
      <w:pPr>
        <w:ind w:left="3958" w:hanging="253"/>
      </w:pPr>
    </w:lvl>
    <w:lvl w:ilvl="5">
      <w:start w:val="1"/>
      <w:numFmt w:val="bullet"/>
      <w:lvlText w:val="•"/>
      <w:lvlJc w:val="left"/>
      <w:pPr>
        <w:ind w:left="4852" w:hanging="253"/>
      </w:pPr>
    </w:lvl>
    <w:lvl w:ilvl="6">
      <w:start w:val="1"/>
      <w:numFmt w:val="bullet"/>
      <w:lvlText w:val="•"/>
      <w:lvlJc w:val="left"/>
      <w:pPr>
        <w:ind w:left="5747" w:hanging="252"/>
      </w:pPr>
    </w:lvl>
    <w:lvl w:ilvl="7">
      <w:start w:val="1"/>
      <w:numFmt w:val="bullet"/>
      <w:lvlText w:val="•"/>
      <w:lvlJc w:val="left"/>
      <w:pPr>
        <w:ind w:left="6641" w:hanging="252"/>
      </w:pPr>
    </w:lvl>
    <w:lvl w:ilvl="8">
      <w:start w:val="1"/>
      <w:numFmt w:val="bullet"/>
      <w:lvlText w:val="•"/>
      <w:lvlJc w:val="left"/>
      <w:pPr>
        <w:ind w:left="7536" w:hanging="252"/>
      </w:pPr>
    </w:lvl>
  </w:abstractNum>
  <w:num w:numId="1" w16cid:durableId="1186335291">
    <w:abstractNumId w:val="1"/>
  </w:num>
  <w:num w:numId="2" w16cid:durableId="15303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2A"/>
    <w:rsid w:val="00005987"/>
    <w:rsid w:val="00154591"/>
    <w:rsid w:val="00167419"/>
    <w:rsid w:val="002068E2"/>
    <w:rsid w:val="00223A90"/>
    <w:rsid w:val="005F1E8E"/>
    <w:rsid w:val="0088436D"/>
    <w:rsid w:val="009357DF"/>
    <w:rsid w:val="009E0E0B"/>
    <w:rsid w:val="00A05F7E"/>
    <w:rsid w:val="00A27EC6"/>
    <w:rsid w:val="00A83786"/>
    <w:rsid w:val="00C31DA1"/>
    <w:rsid w:val="00C84B19"/>
    <w:rsid w:val="00E1112A"/>
    <w:rsid w:val="00E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8C13"/>
  <w15:docId w15:val="{9B733E43-FDDC-4139-A15D-C40B592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E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C3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4D41"/>
  </w:style>
  <w:style w:type="paragraph" w:styleId="Rodap">
    <w:name w:val="footer"/>
    <w:basedOn w:val="Normal"/>
    <w:link w:val="RodapCarter"/>
    <w:uiPriority w:val="99"/>
    <w:unhideWhenUsed/>
    <w:rsid w:val="00C3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4D41"/>
  </w:style>
  <w:style w:type="table" w:styleId="TabelacomGrelha">
    <w:name w:val="Table Grid"/>
    <w:basedOn w:val="Tabelanormal"/>
    <w:uiPriority w:val="39"/>
    <w:rsid w:val="004B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377B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24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41C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12E9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12E9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12E9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12E9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12E91"/>
    <w:rPr>
      <w:b/>
      <w:bCs/>
      <w:sz w:val="20"/>
      <w:szCs w:val="20"/>
    </w:rPr>
  </w:style>
  <w:style w:type="character" w:customStyle="1" w:styleId="TextodecomentrioCarcter">
    <w:name w:val="Texto de comentário Carácter"/>
    <w:uiPriority w:val="99"/>
    <w:semiHidden/>
    <w:rsid w:val="000716C3"/>
    <w:rPr>
      <w:sz w:val="20"/>
      <w:szCs w:val="20"/>
    </w:rPr>
  </w:style>
  <w:style w:type="paragraph" w:customStyle="1" w:styleId="CorpoA">
    <w:name w:val="Corpo A"/>
    <w:rsid w:val="006A5C1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A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A9416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epXY34BBCajd0RLoOX96sZrhBw==">AMUW2mU/aybqDPhA/Y+pqY5aJjGFVmy62UnYw0UYxFob0CK6v9Rc0iCVpPUBeymuCX0IXHXDEhkm/DcEV/+xOHI1rikTpXOGN9/sb5vq9WDeHCfoF8f4tAk=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1185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Maria Lopes Aguiar</dc:creator>
  <cp:lastModifiedBy>Catarina Alves Sardinha</cp:lastModifiedBy>
  <cp:revision>11</cp:revision>
  <cp:lastPrinted>2023-05-18T15:23:00Z</cp:lastPrinted>
  <dcterms:created xsi:type="dcterms:W3CDTF">2023-04-12T18:57:00Z</dcterms:created>
  <dcterms:modified xsi:type="dcterms:W3CDTF">2023-05-18T15:23:00Z</dcterms:modified>
</cp:coreProperties>
</file>