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6A8848" w14:textId="0688FE37" w:rsidR="00C34D41" w:rsidRPr="006F4CB0" w:rsidRDefault="005D0166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b/>
          <w:sz w:val="24"/>
          <w:szCs w:val="24"/>
        </w:rPr>
      </w:pPr>
      <w:r w:rsidRPr="006F4CB0">
        <w:rPr>
          <w:rFonts w:ascii="Tw Cen MT" w:eastAsia="Calibri" w:hAnsi="Tw Cen MT" w:cs="Times New Roman"/>
          <w:noProof/>
          <w:sz w:val="24"/>
          <w:szCs w:val="24"/>
          <w:lang w:eastAsia="pt-PT"/>
        </w:rPr>
        <w:drawing>
          <wp:anchor distT="0" distB="0" distL="114300" distR="114300" simplePos="0" relativeHeight="251662336" behindDoc="0" locked="0" layoutInCell="1" allowOverlap="1" wp14:anchorId="7C6D28C7" wp14:editId="0A1BC514">
            <wp:simplePos x="0" y="0"/>
            <wp:positionH relativeFrom="margin">
              <wp:posOffset>4908797</wp:posOffset>
            </wp:positionH>
            <wp:positionV relativeFrom="paragraph">
              <wp:posOffset>-557655</wp:posOffset>
            </wp:positionV>
            <wp:extent cx="1078346" cy="715352"/>
            <wp:effectExtent l="0" t="0" r="7620" b="8890"/>
            <wp:wrapNone/>
            <wp:docPr id="4" name="Imagem 4" descr="http://www.ebiah.edu.pt/portaleb23ah/Portals/0/Noticias/14-15/imagem_prosucess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4" descr="http://www.ebiah.edu.pt/portaleb23ah/Portals/0/Noticias/14-15/imagem_prosucesso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528" cy="7201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45B89" w:rsidRPr="006F4CB0">
        <w:rPr>
          <w:rFonts w:ascii="Tw Cen MT" w:hAnsi="Tw Cen MT"/>
          <w:noProof/>
          <w:sz w:val="24"/>
          <w:szCs w:val="24"/>
        </w:rPr>
        <w:drawing>
          <wp:anchor distT="0" distB="0" distL="114300" distR="114300" simplePos="0" relativeHeight="251664384" behindDoc="0" locked="0" layoutInCell="1" allowOverlap="1" wp14:anchorId="4F8997CC" wp14:editId="67C37BA1">
            <wp:simplePos x="0" y="0"/>
            <wp:positionH relativeFrom="column">
              <wp:posOffset>208280</wp:posOffset>
            </wp:positionH>
            <wp:positionV relativeFrom="paragraph">
              <wp:posOffset>-505097</wp:posOffset>
            </wp:positionV>
            <wp:extent cx="1532918" cy="762604"/>
            <wp:effectExtent l="0" t="0" r="0" b="0"/>
            <wp:wrapNone/>
            <wp:docPr id="1027221884" name="Imagem 1" descr="Portal da Educação - Direção Regional da Educaçã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7221884" name="Imagem 1" descr="Portal da Educação - Direção Regional da Educação"/>
                    <pic:cNvPicPr>
                      <a:picLocks noChangeAspect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2918" cy="7626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FB04F5" w14:textId="5396EEC6" w:rsidR="00C34D41" w:rsidRPr="006F4CB0" w:rsidRDefault="00C34D41" w:rsidP="006F24D8">
      <w:pPr>
        <w:widowControl w:val="0"/>
        <w:tabs>
          <w:tab w:val="left" w:pos="2880"/>
          <w:tab w:val="left" w:pos="6568"/>
        </w:tabs>
        <w:spacing w:after="0" w:line="360" w:lineRule="auto"/>
        <w:rPr>
          <w:rFonts w:ascii="Tw Cen MT" w:eastAsia="Trebuchet MS" w:hAnsi="Tw Cen MT" w:cs="Trebuchet MS"/>
          <w:spacing w:val="98"/>
          <w:sz w:val="24"/>
          <w:szCs w:val="24"/>
        </w:rPr>
      </w:pPr>
      <w:r w:rsidRPr="006F4CB0">
        <w:rPr>
          <w:rFonts w:ascii="Tw Cen MT" w:eastAsia="Times New Roman" w:hAnsi="Tw Cen MT" w:cs="Trebuchet MS"/>
          <w:sz w:val="24"/>
          <w:szCs w:val="24"/>
          <w:lang w:eastAsia="pt-PT"/>
        </w:rPr>
        <w:t xml:space="preserve">INFORMAÇÃO </w:t>
      </w:r>
      <w:r w:rsidR="00B36532" w:rsidRPr="006F4CB0">
        <w:rPr>
          <w:rFonts w:ascii="Tw Cen MT" w:eastAsia="Times New Roman" w:hAnsi="Tw Cen MT" w:cs="Trebuchet MS"/>
          <w:sz w:val="24"/>
          <w:szCs w:val="24"/>
          <w:lang w:eastAsia="pt-PT"/>
        </w:rPr>
        <w:t>-</w:t>
      </w:r>
      <w:r w:rsidRPr="006F4CB0">
        <w:rPr>
          <w:rFonts w:ascii="Tw Cen MT" w:eastAsia="Times New Roman" w:hAnsi="Tw Cen MT" w:cs="Trebuchet MS"/>
          <w:sz w:val="24"/>
          <w:szCs w:val="24"/>
          <w:lang w:eastAsia="pt-PT"/>
        </w:rPr>
        <w:t xml:space="preserve"> PROVA </w:t>
      </w:r>
      <w:r w:rsidR="00340C75" w:rsidRPr="006F4CB0">
        <w:rPr>
          <w:rFonts w:ascii="Tw Cen MT" w:eastAsia="Times New Roman" w:hAnsi="Tw Cen MT" w:cs="Trebuchet MS"/>
          <w:sz w:val="24"/>
          <w:szCs w:val="24"/>
          <w:lang w:eastAsia="pt-PT"/>
        </w:rPr>
        <w:t>DE EQUIVALÊNCIA À FREQUÊNCIA</w:t>
      </w:r>
    </w:p>
    <w:p w14:paraId="5AF9D377" w14:textId="0F4FB6B9" w:rsidR="00C34D41" w:rsidRPr="006F4CB0" w:rsidRDefault="00AE4716" w:rsidP="006F24D8">
      <w:pPr>
        <w:autoSpaceDE w:val="0"/>
        <w:autoSpaceDN w:val="0"/>
        <w:adjustRightInd w:val="0"/>
        <w:spacing w:after="0" w:line="360" w:lineRule="auto"/>
        <w:rPr>
          <w:rFonts w:ascii="Tw Cen MT" w:eastAsia="Calibri" w:hAnsi="Tw Cen MT" w:cs="Times New Roman"/>
          <w:sz w:val="24"/>
          <w:szCs w:val="24"/>
        </w:rPr>
      </w:pPr>
      <w:r w:rsidRPr="006F4CB0">
        <w:rPr>
          <w:rFonts w:ascii="Tw Cen MT" w:eastAsia="Calibri" w:hAnsi="Tw Cen MT" w:cs="Times New Roman"/>
          <w:noProof/>
          <w:sz w:val="24"/>
          <w:szCs w:val="24"/>
          <w:highlight w:val="yellow"/>
          <w:lang w:eastAsia="pt-PT"/>
        </w:rPr>
        <mc:AlternateContent>
          <mc:Choice Requires="wps">
            <w:drawing>
              <wp:anchor distT="4294967293" distB="4294967293" distL="114300" distR="114300" simplePos="0" relativeHeight="251661312" behindDoc="0" locked="0" layoutInCell="1" allowOverlap="1" wp14:anchorId="211647A7" wp14:editId="12A45DDA">
                <wp:simplePos x="0" y="0"/>
                <wp:positionH relativeFrom="column">
                  <wp:posOffset>3175</wp:posOffset>
                </wp:positionH>
                <wp:positionV relativeFrom="paragraph">
                  <wp:posOffset>253999</wp:posOffset>
                </wp:positionV>
                <wp:extent cx="6278245" cy="0"/>
                <wp:effectExtent l="0" t="0" r="0" b="0"/>
                <wp:wrapNone/>
                <wp:docPr id="1" name="Conexão reta unidirecional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0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70B525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exão reta unidirecional 1" o:spid="_x0000_s1026" type="#_x0000_t32" style="position:absolute;margin-left:.25pt;margin-top:20pt;width:494.35pt;height:0;z-index:251661312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WGj3AEAAI8DAAAOAAAAZHJzL2Uyb0RvYy54bWysU0tu2zAQ3RfoHQjua9lGnQSC5Sycppu0&#10;NZD0AGOSkohSHGJIW/Z5epRerEP606bdFdWC4Gfem3lvRsv7w+DE3lC06Bs5m0ylMF6htr5r5NeX&#10;x3d3UsQEXoNDbxp5NFHer96+WY6hNnPs0WlDgkl8rMfQyD6lUFdVVL0ZIE4wGM+PLdIAiY/UVZpg&#10;ZPbBVfPp9KYakXQgVCZGvn04PcpV4W9bo9KXto0mCddIri2Vlcq6zWu1WkLdEYTeqnMZ8A9VDGA9&#10;J71SPUACsSP7F9VgFWHENk0UDhW2rVWmaGA1s+kfap57CKZoYXNiuNoU/x+t+rzfkLCaeyeFh4Fb&#10;tOZGHX58R0Emi/BWWzKK+wtOzLJhY4g149Z+Q1myOvjn8ITqWxQe1z34zpTCX46B2QqiegXJhxg4&#10;7Xb8hJpjYJewuHdoaciU7Is4lCYdr00yhyQUX97Mb+/m7xdSqMtbBfUFGCimjwYHkTeNjInAdn1i&#10;SZ5HAWlW0sD+KSYWwsALIGf1+GidKxPhvBgbOb9b3C4KIqKzOr/muEjddu1I7CEPVfmyLcz2Koxw&#10;53Vh6w3oD+d9AutOe453nmEXO07GblEfN5Tp8j13vRCfJzSP1e/nEvXrP1r9BAAA//8DAFBLAwQU&#10;AAYACAAAACEAZBdxYt0AAAAGAQAADwAAAGRycy9kb3ducmV2LnhtbEyPS0/DMBCE70j8B2uRuFGH&#10;qqA2jVMhJA4gnm0PPW7jzQPidRq7bfrvWcQBjrMzmvk2WwyuVQfqQ+PZwPUoAUVceNtwZWC9eria&#10;ggoR2WLrmQycKMAiPz/LMLX+yB90WMZKSQmHFA3UMXap1qGoyWEY+Y5YvNL3DqPIvtK2x6OUu1aP&#10;k+RWO2xYFmrs6L6m4mu5dwZ2m0dXlM/vwa9eTk+4/ixfJ7s3Yy4vhrs5qEhD/AvDD76gQy5MW79n&#10;G1Rr4EZyBiaJPCTubDobg9r+HnSe6f/4+TcAAAD//wMAUEsBAi0AFAAGAAgAAAAhALaDOJL+AAAA&#10;4QEAABMAAAAAAAAAAAAAAAAAAAAAAFtDb250ZW50X1R5cGVzXS54bWxQSwECLQAUAAYACAAAACEA&#10;OP0h/9YAAACUAQAACwAAAAAAAAAAAAAAAAAvAQAAX3JlbHMvLnJlbHNQSwECLQAUAAYACAAAACEA&#10;bJFho9wBAACPAwAADgAAAAAAAAAAAAAAAAAuAgAAZHJzL2Uyb0RvYy54bWxQSwECLQAUAAYACAAA&#10;ACEAZBdxYt0AAAAGAQAADwAAAAAAAAAAAAAAAAA2BAAAZHJzL2Rvd25yZXYueG1sUEsFBgAAAAAE&#10;AAQA8wAAAEAFAAAAAA==&#10;" strokeweight="2.25pt"/>
            </w:pict>
          </mc:Fallback>
        </mc:AlternateContent>
      </w:r>
      <w:r w:rsidR="006A5C1A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>Educação Visual</w:t>
      </w:r>
      <w:r w:rsidR="00CE75BD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ab/>
      </w:r>
      <w:r w:rsidR="00C34D41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ab/>
      </w:r>
      <w:r w:rsidR="00C34D41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ab/>
      </w:r>
      <w:r w:rsidR="00C34D41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ab/>
      </w:r>
      <w:r w:rsidR="00C34D41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ab/>
      </w:r>
      <w:r w:rsidR="00C34D41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ab/>
      </w:r>
      <w:r w:rsidR="00C34D41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ab/>
        <w:t xml:space="preserve">                  </w:t>
      </w:r>
    </w:p>
    <w:p w14:paraId="05408F8F" w14:textId="20901441" w:rsidR="00BC7C56" w:rsidRDefault="00C34D41" w:rsidP="00BC7C56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after="0" w:line="240" w:lineRule="auto"/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</w:pPr>
      <w:r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 xml:space="preserve">Prova </w:t>
      </w:r>
      <w:r w:rsidR="006A5C1A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>14</w:t>
      </w:r>
      <w:r w:rsidR="00647936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 xml:space="preserve"> | 20</w:t>
      </w:r>
      <w:r w:rsidR="007E640E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>2</w:t>
      </w:r>
      <w:r w:rsidR="00644E48" w:rsidRPr="006F4CB0"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  <w:t>3</w:t>
      </w:r>
    </w:p>
    <w:p w14:paraId="4F9B3C85" w14:textId="389D4A85" w:rsidR="00C34D41" w:rsidRPr="006F4CB0" w:rsidRDefault="006A5C1A" w:rsidP="00BC7C56">
      <w:pPr>
        <w:pBdr>
          <w:bottom w:val="dashed" w:sz="4" w:space="1" w:color="auto"/>
        </w:pBdr>
        <w:tabs>
          <w:tab w:val="right" w:pos="10642"/>
        </w:tabs>
        <w:autoSpaceDE w:val="0"/>
        <w:autoSpaceDN w:val="0"/>
        <w:adjustRightInd w:val="0"/>
        <w:spacing w:after="0" w:line="240" w:lineRule="auto"/>
        <w:rPr>
          <w:rFonts w:ascii="Tw Cen MT" w:eastAsia="Times New Roman" w:hAnsi="Tw Cen MT" w:cs="TrebuchetMS-Bold"/>
          <w:b/>
          <w:bCs/>
          <w:sz w:val="24"/>
          <w:szCs w:val="24"/>
          <w:lang w:eastAsia="pt-PT"/>
        </w:rPr>
      </w:pPr>
      <w:r w:rsidRPr="006F4CB0">
        <w:rPr>
          <w:rFonts w:ascii="Tw Cen MT" w:eastAsia="Times New Roman" w:hAnsi="Tw Cen MT" w:cs="TrebuchetMS"/>
          <w:sz w:val="24"/>
          <w:szCs w:val="24"/>
          <w:lang w:eastAsia="pt-PT"/>
        </w:rPr>
        <w:t>3</w:t>
      </w:r>
      <w:r w:rsidR="00C34D41" w:rsidRPr="006F4CB0">
        <w:rPr>
          <w:rFonts w:ascii="Tw Cen MT" w:eastAsia="Times New Roman" w:hAnsi="Tw Cen MT" w:cs="TrebuchetMS"/>
          <w:sz w:val="24"/>
          <w:szCs w:val="24"/>
          <w:lang w:eastAsia="pt-PT"/>
        </w:rPr>
        <w:t>.º Ciclo do Ensino Básico</w:t>
      </w:r>
    </w:p>
    <w:p w14:paraId="116D9E33" w14:textId="0AE3961A" w:rsidR="00885DBC" w:rsidRPr="006F4CB0" w:rsidRDefault="00D93246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sz w:val="24"/>
          <w:szCs w:val="24"/>
        </w:rPr>
      </w:pPr>
      <w:r w:rsidRPr="006F4CB0">
        <w:rPr>
          <w:rFonts w:ascii="Tw Cen MT" w:eastAsia="Calibri" w:hAnsi="Tw Cen MT" w:cs="Times New Roman"/>
          <w:noProof/>
          <w:sz w:val="24"/>
          <w:szCs w:val="24"/>
          <w:highlight w:val="yellow"/>
          <w:lang w:eastAsia="pt-PT"/>
        </w:rPr>
        <mc:AlternateContent>
          <mc:Choice Requires="wps">
            <w:drawing>
              <wp:anchor distT="4294967295" distB="4294967295" distL="114300" distR="114300" simplePos="0" relativeHeight="251659264" behindDoc="1" locked="0" layoutInCell="1" allowOverlap="1" wp14:anchorId="6EC78451" wp14:editId="0853B771">
                <wp:simplePos x="0" y="0"/>
                <wp:positionH relativeFrom="margin">
                  <wp:posOffset>0</wp:posOffset>
                </wp:positionH>
                <wp:positionV relativeFrom="page">
                  <wp:posOffset>2087616</wp:posOffset>
                </wp:positionV>
                <wp:extent cx="6278245" cy="20009"/>
                <wp:effectExtent l="0" t="0" r="27305" b="37465"/>
                <wp:wrapNone/>
                <wp:docPr id="3" name="Conexão reta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8245" cy="20009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2AEBFF"/>
                          </a:solidFill>
                          <a:miter lim="800000"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8F57947" id="Conexão reta 3" o:spid="_x0000_s1026" style="position:absolute;z-index:-251657216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page;mso-width-percent:0;mso-height-percent:0;mso-width-relative:page;mso-height-relative:page" from="0,164.4pt" to="494.35pt,1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Uyxf3gEAAIQDAAAOAAAAZHJzL2Uyb0RvYy54bWysU0uOEzEQ3SNxB8t70p3Mh9BKZwSZCZsB&#10;Is1wgIrtTlvYLsv2pDvn4ShcjLKTCQzsEBvLrs+rV6/Ki5vRGrZXIWp0LZ9Oas6UEyi127X86+P6&#10;zZyzmMBJMOhUyw8q8pvl61eLwTdqhj0aqQIjEBebwbe8T8k3VRVFryzECXrlyNlhsJDoGXaVDDAQ&#10;ujXVrK6vqwGD9AGFipGst0cnXxb8rlMifem6qBIzLSduqZyhnNt8VssFNLsAvtfiRAP+gYUF7ajo&#10;GeoWErCnoP+CsloEjNiliUBbYddpoUoP1M20/qObhx68Kr2QONGfZYr/D1Z83m8C07LlF5w5sDSi&#10;FQ1q/PEdWVDUxEWWaPCxociV24TcpBjdg79H8S0yh6se3E4Vqo8HT/nTnFG9SMmP6KnQdviEkmLg&#10;KWHRa+yCzZCkBBvLWA7nsagxMUHG69nb+ezyijNBPhp6/a5UgOY52YeYPiq0LF9abrTLqkED+/uY&#10;MhlonkOy2eFaG1MmbxwbCPPqsq5LRkSjZfbmuBh225UJbA+0PLP3dx/W61PhF2FWJ1pho23L50SO&#10;kAp0r0DeOVnuCbQ53omKcSd5siJHbbcoD5uQmWalaNSF82kt8y79/i5Rvz7P8icAAAD//wMAUEsD&#10;BBQABgAIAAAAIQAG3+uK3AAAAAgBAAAPAAAAZHJzL2Rvd25yZXYueG1sTI/BTsMwEETvSPyDtUjc&#10;qN2khRDiVAi1VyTSSr1uEzeJGq8j203D37Oc4Lg7o5l5xWa2g5iMD70jDcuFAmGodk1PrYbDfveU&#10;gQgRqcHBkdHwbQJsyvu7AvPG3ejLTFVsBYdQyFFDF+OYSxnqzlgMCzcaYu3svMXIp29l4/HG4XaQ&#10;iVLP0mJP3NDhaD46U1+qq+WSM9JW+ePkd+vVOlXV9vi5Omj9+DC/v4GIZo5/Zvidz9Oh5E0nd6Um&#10;iEEDg0QNaZIxAMuvWfYC4sSfNFEgy0L+Byh/AAAA//8DAFBLAQItABQABgAIAAAAIQC2gziS/gAA&#10;AOEBAAATAAAAAAAAAAAAAAAAAAAAAABbQ29udGVudF9UeXBlc10ueG1sUEsBAi0AFAAGAAgAAAAh&#10;ADj9If/WAAAAlAEAAAsAAAAAAAAAAAAAAAAALwEAAF9yZWxzLy5yZWxzUEsBAi0AFAAGAAgAAAAh&#10;AAZTLF/eAQAAhAMAAA4AAAAAAAAAAAAAAAAALgIAAGRycy9lMm9Eb2MueG1sUEsBAi0AFAAGAAgA&#10;AAAhAAbf64rcAAAACAEAAA8AAAAAAAAAAAAAAAAAOAQAAGRycy9kb3ducmV2LnhtbFBLBQYAAAAA&#10;BAAEAPMAAABBBQAAAAA=&#10;" strokecolor="#2aebff" strokeweight="2pt">
                <v:stroke joinstyle="miter"/>
                <w10:wrap anchorx="margin" anchory="page"/>
              </v:line>
            </w:pict>
          </mc:Fallback>
        </mc:AlternateContent>
      </w:r>
    </w:p>
    <w:p w14:paraId="355AC2E0" w14:textId="4B085999" w:rsidR="00340C75" w:rsidRPr="00D93246" w:rsidRDefault="00340C75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 xml:space="preserve">O presente documento divulga as características da prova de equivalência à frequência da disciplina de </w:t>
      </w:r>
      <w:r w:rsidR="006A5C1A" w:rsidRPr="006F4CB0">
        <w:rPr>
          <w:rFonts w:ascii="Tw Cen MT" w:hAnsi="Tw Cen MT"/>
          <w:sz w:val="24"/>
          <w:szCs w:val="24"/>
        </w:rPr>
        <w:t>Educação Visual</w:t>
      </w:r>
      <w:r w:rsidRPr="006F4CB0">
        <w:rPr>
          <w:rFonts w:ascii="Tw Cen MT" w:hAnsi="Tw Cen MT"/>
          <w:sz w:val="24"/>
          <w:szCs w:val="24"/>
        </w:rPr>
        <w:t>, a realizar em 20</w:t>
      </w:r>
      <w:r w:rsidR="00782DA2" w:rsidRPr="006F4CB0">
        <w:rPr>
          <w:rFonts w:ascii="Tw Cen MT" w:hAnsi="Tw Cen MT"/>
          <w:sz w:val="24"/>
          <w:szCs w:val="24"/>
        </w:rPr>
        <w:t>2</w:t>
      </w:r>
      <w:r w:rsidR="00644E48" w:rsidRPr="006F4CB0">
        <w:rPr>
          <w:rFonts w:ascii="Tw Cen MT" w:hAnsi="Tw Cen MT"/>
          <w:sz w:val="24"/>
          <w:szCs w:val="24"/>
        </w:rPr>
        <w:t>3</w:t>
      </w:r>
      <w:r w:rsidRPr="006F4CB0">
        <w:rPr>
          <w:rFonts w:ascii="Tw Cen MT" w:hAnsi="Tw Cen MT"/>
          <w:sz w:val="24"/>
          <w:szCs w:val="24"/>
        </w:rPr>
        <w:t xml:space="preserve"> pelos alunos que se encontram abrangidos pelos planos de estudo instituídos pelo </w:t>
      </w:r>
      <w:r w:rsidRPr="00D93246">
        <w:rPr>
          <w:rFonts w:ascii="Tw Cen MT" w:hAnsi="Tw Cen MT"/>
          <w:sz w:val="24"/>
          <w:szCs w:val="24"/>
        </w:rPr>
        <w:t xml:space="preserve">Decreto Legislativo Regional </w:t>
      </w:r>
      <w:r w:rsidR="008038EA" w:rsidRPr="00D93246">
        <w:rPr>
          <w:rFonts w:ascii="Tw Cen MT" w:hAnsi="Tw Cen MT"/>
          <w:sz w:val="24"/>
          <w:szCs w:val="24"/>
        </w:rPr>
        <w:t>n</w:t>
      </w:r>
      <w:r w:rsidRPr="00D93246">
        <w:rPr>
          <w:rFonts w:ascii="Tw Cen MT" w:hAnsi="Tw Cen MT"/>
          <w:sz w:val="24"/>
          <w:szCs w:val="24"/>
        </w:rPr>
        <w:t>.º</w:t>
      </w:r>
      <w:r w:rsidR="00B162C5" w:rsidRPr="00D93246">
        <w:rPr>
          <w:rFonts w:ascii="Tw Cen MT" w:hAnsi="Tw Cen MT"/>
          <w:sz w:val="24"/>
          <w:szCs w:val="24"/>
        </w:rPr>
        <w:t xml:space="preserve"> </w:t>
      </w:r>
      <w:r w:rsidR="008038EA" w:rsidRPr="00D93246">
        <w:rPr>
          <w:rFonts w:ascii="Tw Cen MT" w:hAnsi="Tw Cen MT"/>
          <w:sz w:val="24"/>
          <w:szCs w:val="24"/>
        </w:rPr>
        <w:t>16</w:t>
      </w:r>
      <w:r w:rsidR="00B162C5" w:rsidRPr="00D93246">
        <w:rPr>
          <w:rFonts w:ascii="Tw Cen MT" w:hAnsi="Tw Cen MT"/>
          <w:sz w:val="24"/>
          <w:szCs w:val="24"/>
        </w:rPr>
        <w:t>/201</w:t>
      </w:r>
      <w:r w:rsidR="008038EA" w:rsidRPr="00D93246">
        <w:rPr>
          <w:rFonts w:ascii="Tw Cen MT" w:hAnsi="Tw Cen MT"/>
          <w:sz w:val="24"/>
          <w:szCs w:val="24"/>
        </w:rPr>
        <w:t>9</w:t>
      </w:r>
      <w:r w:rsidR="00B162C5" w:rsidRPr="00D93246">
        <w:rPr>
          <w:rFonts w:ascii="Tw Cen MT" w:hAnsi="Tw Cen MT"/>
          <w:sz w:val="24"/>
          <w:szCs w:val="24"/>
        </w:rPr>
        <w:t>/A de 2</w:t>
      </w:r>
      <w:r w:rsidR="008038EA" w:rsidRPr="00D93246">
        <w:rPr>
          <w:rFonts w:ascii="Tw Cen MT" w:hAnsi="Tw Cen MT"/>
          <w:sz w:val="24"/>
          <w:szCs w:val="24"/>
        </w:rPr>
        <w:t>3</w:t>
      </w:r>
      <w:r w:rsidR="00B162C5" w:rsidRPr="00D93246">
        <w:rPr>
          <w:rFonts w:ascii="Tw Cen MT" w:hAnsi="Tw Cen MT"/>
          <w:sz w:val="24"/>
          <w:szCs w:val="24"/>
        </w:rPr>
        <w:t xml:space="preserve"> de ju</w:t>
      </w:r>
      <w:r w:rsidR="008038EA" w:rsidRPr="00D93246">
        <w:rPr>
          <w:rFonts w:ascii="Tw Cen MT" w:hAnsi="Tw Cen MT"/>
          <w:sz w:val="24"/>
          <w:szCs w:val="24"/>
        </w:rPr>
        <w:t>l</w:t>
      </w:r>
      <w:r w:rsidR="00B162C5" w:rsidRPr="00D93246">
        <w:rPr>
          <w:rFonts w:ascii="Tw Cen MT" w:hAnsi="Tw Cen MT"/>
          <w:sz w:val="24"/>
          <w:szCs w:val="24"/>
        </w:rPr>
        <w:t>ho</w:t>
      </w:r>
      <w:r w:rsidR="00A70FD2" w:rsidRPr="00D93246">
        <w:rPr>
          <w:rFonts w:ascii="Tw Cen MT" w:hAnsi="Tw Cen MT"/>
          <w:sz w:val="24"/>
          <w:szCs w:val="24"/>
        </w:rPr>
        <w:t>.</w:t>
      </w:r>
    </w:p>
    <w:p w14:paraId="7FFA5B8C" w14:textId="081491B3" w:rsidR="00AB12E7" w:rsidRPr="00D93246" w:rsidRDefault="007449FE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  <w:r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Os alunos que se encontram abrangidos pelo documento G</w:t>
      </w:r>
      <w:r w:rsidR="009B049B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uia</w:t>
      </w:r>
      <w:r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 xml:space="preserve"> para Aplicação de</w:t>
      </w:r>
      <w:r w:rsidR="000716C3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 xml:space="preserve"> Adaptações </w:t>
      </w:r>
      <w:r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na Realização de Provas e Exames - JNE 20</w:t>
      </w:r>
      <w:r w:rsidR="007E640E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2</w:t>
      </w:r>
      <w:r w:rsidR="00644E48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3</w:t>
      </w:r>
      <w:r w:rsidRPr="00D93246">
        <w:rPr>
          <w:rFonts w:ascii="Tw Cen MT" w:eastAsia="Times New Roman" w:hAnsi="Tw Cen MT" w:cs="Times New Roman"/>
          <w:b/>
          <w:i/>
          <w:sz w:val="24"/>
          <w:szCs w:val="24"/>
          <w:lang w:eastAsia="pt-PT"/>
        </w:rPr>
        <w:t xml:space="preserve">, </w:t>
      </w:r>
      <w:r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 xml:space="preserve">emanado pelo Júri Nacional de Exames realizam esta prova, com medidas contempladas nos seus </w:t>
      </w:r>
      <w:r w:rsidR="00782DA2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Relatórios Técnicos-Pedagógicos,</w:t>
      </w:r>
      <w:r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 xml:space="preserve"> de acordo com </w:t>
      </w:r>
      <w:r w:rsidR="00782DA2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a Declaração de Retificação n.º 47/2019, de 3 de outubro, que altera a Lei n.º 116/2019 de 13 de setembro, primeira alteração ao Decreto-Lei n.º 54/20</w:t>
      </w:r>
      <w:r w:rsidR="00000337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1</w:t>
      </w:r>
      <w:r w:rsidR="00782DA2"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8 de 6 de julho, que estabelece o regime jurídico da educação inclusiva</w:t>
      </w:r>
      <w:r w:rsidRPr="00D93246">
        <w:rPr>
          <w:rFonts w:ascii="Tw Cen MT" w:eastAsia="Times New Roman" w:hAnsi="Tw Cen MT" w:cs="Times New Roman"/>
          <w:sz w:val="24"/>
          <w:szCs w:val="24"/>
          <w:lang w:eastAsia="pt-PT"/>
        </w:rPr>
        <w:t>.</w:t>
      </w:r>
    </w:p>
    <w:p w14:paraId="3D5D01AF" w14:textId="77777777" w:rsidR="00244CFA" w:rsidRPr="00D93246" w:rsidRDefault="00244CFA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</w:p>
    <w:p w14:paraId="429716F3" w14:textId="54F585DF" w:rsidR="00340C75" w:rsidRPr="006F4CB0" w:rsidRDefault="00340C75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/>
          <w:sz w:val="24"/>
          <w:szCs w:val="24"/>
        </w:rPr>
      </w:pPr>
      <w:r w:rsidRPr="00D93246">
        <w:rPr>
          <w:rFonts w:ascii="Tw Cen MT" w:hAnsi="Tw Cen MT"/>
          <w:sz w:val="24"/>
          <w:szCs w:val="24"/>
        </w:rPr>
        <w:t xml:space="preserve">Deve ainda ser tida em consideração a Portaria n.º </w:t>
      </w:r>
      <w:r w:rsidR="00A70FD2" w:rsidRPr="00D93246">
        <w:rPr>
          <w:rFonts w:ascii="Tw Cen MT" w:hAnsi="Tw Cen MT"/>
          <w:sz w:val="24"/>
          <w:szCs w:val="24"/>
        </w:rPr>
        <w:t>59</w:t>
      </w:r>
      <w:r w:rsidRPr="00D93246">
        <w:rPr>
          <w:rFonts w:ascii="Tw Cen MT" w:hAnsi="Tw Cen MT"/>
          <w:sz w:val="24"/>
          <w:szCs w:val="24"/>
        </w:rPr>
        <w:t>/201</w:t>
      </w:r>
      <w:r w:rsidR="00A70FD2" w:rsidRPr="00D93246">
        <w:rPr>
          <w:rFonts w:ascii="Tw Cen MT" w:hAnsi="Tw Cen MT"/>
          <w:sz w:val="24"/>
          <w:szCs w:val="24"/>
        </w:rPr>
        <w:t>9</w:t>
      </w:r>
      <w:r w:rsidR="00577A05" w:rsidRPr="00D93246">
        <w:rPr>
          <w:rFonts w:ascii="Tw Cen MT" w:hAnsi="Tw Cen MT"/>
          <w:sz w:val="24"/>
          <w:szCs w:val="24"/>
        </w:rPr>
        <w:t>,</w:t>
      </w:r>
      <w:r w:rsidRPr="00D93246">
        <w:rPr>
          <w:rFonts w:ascii="Tw Cen MT" w:hAnsi="Tw Cen MT"/>
          <w:sz w:val="24"/>
          <w:szCs w:val="24"/>
        </w:rPr>
        <w:t xml:space="preserve"> de </w:t>
      </w:r>
      <w:r w:rsidR="00A70FD2" w:rsidRPr="00D93246">
        <w:rPr>
          <w:rFonts w:ascii="Tw Cen MT" w:hAnsi="Tw Cen MT"/>
          <w:sz w:val="24"/>
          <w:szCs w:val="24"/>
        </w:rPr>
        <w:t>2</w:t>
      </w:r>
      <w:r w:rsidRPr="00D93246">
        <w:rPr>
          <w:rFonts w:ascii="Tw Cen MT" w:hAnsi="Tw Cen MT"/>
          <w:sz w:val="24"/>
          <w:szCs w:val="24"/>
        </w:rPr>
        <w:t xml:space="preserve">8 de </w:t>
      </w:r>
      <w:r w:rsidR="00A70FD2" w:rsidRPr="00D93246">
        <w:rPr>
          <w:rFonts w:ascii="Tw Cen MT" w:hAnsi="Tw Cen MT"/>
          <w:sz w:val="24"/>
          <w:szCs w:val="24"/>
        </w:rPr>
        <w:t>agosto</w:t>
      </w:r>
      <w:r w:rsidR="00B63563" w:rsidRPr="00D93246">
        <w:rPr>
          <w:rFonts w:ascii="Tw Cen MT" w:hAnsi="Tw Cen MT"/>
          <w:sz w:val="24"/>
          <w:szCs w:val="24"/>
        </w:rPr>
        <w:t xml:space="preserve"> e o </w:t>
      </w:r>
      <w:r w:rsidR="00482791" w:rsidRPr="00482791">
        <w:rPr>
          <w:rFonts w:ascii="Tw Cen MT" w:hAnsi="Tw Cen MT"/>
          <w:sz w:val="24"/>
          <w:szCs w:val="24"/>
        </w:rPr>
        <w:t>Despacho Normativo n.º 4-B/2023, de 3 de abril.</w:t>
      </w:r>
    </w:p>
    <w:p w14:paraId="48184D49" w14:textId="4F172D1F" w:rsidR="000716C3" w:rsidRPr="006F4CB0" w:rsidRDefault="00340C75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hAnsi="Tw Cen MT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 xml:space="preserve">As informações apresentadas neste documento não dispensam a consulta da legislação referida, </w:t>
      </w:r>
      <w:r w:rsidR="00AF0C84" w:rsidRPr="006F4CB0">
        <w:rPr>
          <w:rFonts w:ascii="Tw Cen MT" w:hAnsi="Tw Cen MT"/>
          <w:sz w:val="24"/>
          <w:szCs w:val="24"/>
        </w:rPr>
        <w:t>bem como</w:t>
      </w:r>
      <w:r w:rsidR="00577A05" w:rsidRPr="006F4CB0">
        <w:rPr>
          <w:rFonts w:ascii="Tw Cen MT" w:hAnsi="Tw Cen MT"/>
          <w:sz w:val="24"/>
          <w:szCs w:val="24"/>
        </w:rPr>
        <w:t xml:space="preserve"> do </w:t>
      </w:r>
      <w:r w:rsidR="000716C3" w:rsidRPr="006F4CB0">
        <w:rPr>
          <w:rFonts w:ascii="Tw Cen MT" w:hAnsi="Tw Cen MT"/>
          <w:sz w:val="24"/>
          <w:szCs w:val="24"/>
        </w:rPr>
        <w:t xml:space="preserve">referencial-base </w:t>
      </w:r>
      <w:r w:rsidR="00C24598" w:rsidRPr="006F4CB0">
        <w:rPr>
          <w:rFonts w:ascii="Tw Cen MT" w:hAnsi="Tw Cen MT"/>
          <w:sz w:val="24"/>
          <w:szCs w:val="24"/>
        </w:rPr>
        <w:t>d</w:t>
      </w:r>
      <w:r w:rsidR="000716C3" w:rsidRPr="006F4CB0">
        <w:rPr>
          <w:rFonts w:ascii="Tw Cen MT" w:hAnsi="Tw Cen MT"/>
          <w:sz w:val="24"/>
          <w:szCs w:val="24"/>
        </w:rPr>
        <w:t>as Aprendizagens Essenciais, com especial enfoque nas áreas de competência inscritas no Perfil dos Alunos à Saída da Escolaridade Obrigatória</w:t>
      </w:r>
      <w:r w:rsidR="00767F46" w:rsidRPr="006F4CB0">
        <w:rPr>
          <w:rFonts w:ascii="Tw Cen MT" w:hAnsi="Tw Cen MT"/>
          <w:sz w:val="24"/>
          <w:szCs w:val="24"/>
        </w:rPr>
        <w:t>.</w:t>
      </w:r>
    </w:p>
    <w:p w14:paraId="08F41A6F" w14:textId="4D1E7174" w:rsidR="00577A05" w:rsidRPr="006F4CB0" w:rsidRDefault="00577A05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sz w:val="24"/>
          <w:szCs w:val="24"/>
        </w:rPr>
      </w:pPr>
    </w:p>
    <w:p w14:paraId="53B93AAE" w14:textId="25BAC3BE" w:rsidR="00C34D41" w:rsidRPr="006F4CB0" w:rsidRDefault="00C34D41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Calibri" w:hAnsi="Tw Cen MT" w:cs="Times New Roman"/>
          <w:sz w:val="24"/>
          <w:szCs w:val="24"/>
        </w:rPr>
      </w:pPr>
      <w:r w:rsidRPr="006F4CB0">
        <w:rPr>
          <w:rFonts w:ascii="Tw Cen MT" w:eastAsia="Calibri" w:hAnsi="Tw Cen MT" w:cs="Times New Roman"/>
          <w:sz w:val="24"/>
          <w:szCs w:val="24"/>
        </w:rPr>
        <w:t>O presente documento dá a conhecer os seguintes aspetos relativos à prova:</w:t>
      </w:r>
    </w:p>
    <w:p w14:paraId="040CF96F" w14:textId="77777777" w:rsidR="00C34D41" w:rsidRPr="006F4CB0" w:rsidRDefault="00C34D41" w:rsidP="006F24D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0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  <w:r w:rsidRPr="006F4CB0">
        <w:rPr>
          <w:rFonts w:ascii="Tw Cen MT" w:eastAsia="Times New Roman" w:hAnsi="Tw Cen MT" w:cs="Times New Roman"/>
          <w:color w:val="231F20"/>
          <w:sz w:val="24"/>
          <w:szCs w:val="24"/>
          <w:lang w:eastAsia="pt-PT"/>
        </w:rPr>
        <w:t>Objeto de</w:t>
      </w:r>
      <w:r w:rsidRPr="006F4CB0">
        <w:rPr>
          <w:rFonts w:ascii="Tw Cen MT" w:eastAsia="Times New Roman" w:hAnsi="Tw Cen MT" w:cs="Times New Roman"/>
          <w:color w:val="231F20"/>
          <w:spacing w:val="-12"/>
          <w:sz w:val="24"/>
          <w:szCs w:val="24"/>
          <w:lang w:eastAsia="pt-PT"/>
        </w:rPr>
        <w:t xml:space="preserve"> </w:t>
      </w:r>
      <w:r w:rsidRPr="006F4CB0">
        <w:rPr>
          <w:rFonts w:ascii="Tw Cen MT" w:eastAsia="Times New Roman" w:hAnsi="Tw Cen MT" w:cs="Times New Roman"/>
          <w:color w:val="231F20"/>
          <w:sz w:val="24"/>
          <w:szCs w:val="24"/>
          <w:lang w:eastAsia="pt-PT"/>
        </w:rPr>
        <w:t>avaliação</w:t>
      </w:r>
    </w:p>
    <w:p w14:paraId="00C9D119" w14:textId="514D004F" w:rsidR="00C34D41" w:rsidRPr="006F4CB0" w:rsidRDefault="008038EA" w:rsidP="006F24D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0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  <w:r w:rsidRPr="006F4CB0">
        <w:rPr>
          <w:rFonts w:ascii="Tw Cen MT" w:eastAsia="Times New Roman" w:hAnsi="Tw Cen MT" w:cs="Times New Roman"/>
          <w:color w:val="231F20"/>
          <w:sz w:val="24"/>
          <w:szCs w:val="24"/>
          <w:lang w:eastAsia="pt-PT"/>
        </w:rPr>
        <w:t>Características e estrutura</w:t>
      </w:r>
    </w:p>
    <w:p w14:paraId="4A03AB3C" w14:textId="2C2DFA92" w:rsidR="009B049B" w:rsidRPr="006F4CB0" w:rsidRDefault="009B049B" w:rsidP="006F24D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0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  <w:r w:rsidRPr="006F4CB0">
        <w:rPr>
          <w:rFonts w:ascii="Tw Cen MT" w:eastAsia="Times New Roman" w:hAnsi="Tw Cen MT" w:cs="Times New Roman"/>
          <w:color w:val="231F20"/>
          <w:sz w:val="24"/>
          <w:szCs w:val="24"/>
          <w:lang w:eastAsia="pt-PT"/>
        </w:rPr>
        <w:t>Critérios gerais de</w:t>
      </w:r>
      <w:r w:rsidRPr="006F4CB0">
        <w:rPr>
          <w:rFonts w:ascii="Tw Cen MT" w:eastAsia="Times New Roman" w:hAnsi="Tw Cen MT" w:cs="Times New Roman"/>
          <w:color w:val="231F20"/>
          <w:spacing w:val="-24"/>
          <w:sz w:val="24"/>
          <w:szCs w:val="24"/>
          <w:lang w:eastAsia="pt-PT"/>
        </w:rPr>
        <w:t xml:space="preserve"> </w:t>
      </w:r>
      <w:r w:rsidRPr="006F4CB0">
        <w:rPr>
          <w:rFonts w:ascii="Tw Cen MT" w:eastAsia="Times New Roman" w:hAnsi="Tw Cen MT" w:cs="Times New Roman"/>
          <w:color w:val="231F20"/>
          <w:sz w:val="24"/>
          <w:szCs w:val="24"/>
          <w:lang w:eastAsia="pt-PT"/>
        </w:rPr>
        <w:t>classificação</w:t>
      </w:r>
    </w:p>
    <w:p w14:paraId="55565BA6" w14:textId="2D691CAF" w:rsidR="008038EA" w:rsidRPr="006F4CB0" w:rsidRDefault="008038EA" w:rsidP="006F24D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0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  <w:r w:rsidRPr="006F4CB0">
        <w:rPr>
          <w:rFonts w:ascii="Tw Cen MT" w:eastAsia="Times New Roman" w:hAnsi="Tw Cen MT" w:cs="Times New Roman"/>
          <w:color w:val="231F20"/>
          <w:sz w:val="24"/>
          <w:szCs w:val="24"/>
          <w:lang w:eastAsia="pt-PT"/>
        </w:rPr>
        <w:t xml:space="preserve">Material </w:t>
      </w:r>
    </w:p>
    <w:p w14:paraId="0AA29F98" w14:textId="69032939" w:rsidR="00C55A56" w:rsidRPr="006F4CB0" w:rsidRDefault="00C55A56" w:rsidP="006F24D8">
      <w:pPr>
        <w:widowControl w:val="0"/>
        <w:numPr>
          <w:ilvl w:val="0"/>
          <w:numId w:val="4"/>
        </w:numPr>
        <w:tabs>
          <w:tab w:val="left" w:pos="374"/>
        </w:tabs>
        <w:spacing w:after="0" w:line="360" w:lineRule="auto"/>
        <w:ind w:left="0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  <w:r w:rsidRPr="006F4CB0">
        <w:rPr>
          <w:rFonts w:ascii="Tw Cen MT" w:eastAsia="Times New Roman" w:hAnsi="Tw Cen MT" w:cs="Times New Roman"/>
          <w:color w:val="231F20"/>
          <w:sz w:val="24"/>
          <w:szCs w:val="24"/>
          <w:lang w:eastAsia="pt-PT"/>
        </w:rPr>
        <w:t xml:space="preserve">Duração </w:t>
      </w:r>
    </w:p>
    <w:p w14:paraId="39515E87" w14:textId="77777777" w:rsidR="009A2946" w:rsidRPr="006F4CB0" w:rsidRDefault="009A2946" w:rsidP="006F24D8">
      <w:pPr>
        <w:widowControl w:val="0"/>
        <w:tabs>
          <w:tab w:val="left" w:pos="374"/>
        </w:tabs>
        <w:spacing w:after="0" w:line="360" w:lineRule="auto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</w:p>
    <w:p w14:paraId="57175E12" w14:textId="07FB70C6" w:rsidR="00C34D41" w:rsidRPr="006F4CB0" w:rsidRDefault="00C34D41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  <w:r w:rsidRPr="006F4CB0">
        <w:rPr>
          <w:rFonts w:ascii="Tw Cen MT" w:eastAsia="Times New Roman" w:hAnsi="Tw Cen MT" w:cs="Times New Roman"/>
          <w:sz w:val="24"/>
          <w:szCs w:val="24"/>
          <w:lang w:eastAsia="pt-PT"/>
        </w:rPr>
        <w:t>Este documento deve ser dado a conhecer aos encarregados de educação e aos alunos</w:t>
      </w:r>
      <w:r w:rsidR="002D4518" w:rsidRPr="006F4CB0">
        <w:rPr>
          <w:rFonts w:ascii="Tw Cen MT" w:eastAsia="Times New Roman" w:hAnsi="Tw Cen MT" w:cs="Times New Roman"/>
          <w:sz w:val="24"/>
          <w:szCs w:val="24"/>
          <w:lang w:eastAsia="pt-PT"/>
        </w:rPr>
        <w:t xml:space="preserve">. O </w:t>
      </w:r>
      <w:r w:rsidR="00E06030" w:rsidRPr="006F4CB0">
        <w:rPr>
          <w:rFonts w:ascii="Tw Cen MT" w:eastAsia="Times New Roman" w:hAnsi="Tw Cen MT" w:cs="Times New Roman"/>
          <w:sz w:val="24"/>
          <w:szCs w:val="24"/>
          <w:lang w:eastAsia="pt-PT"/>
        </w:rPr>
        <w:t>mesmo</w:t>
      </w:r>
      <w:r w:rsidRPr="006F4CB0">
        <w:rPr>
          <w:rFonts w:ascii="Tw Cen MT" w:eastAsia="Times New Roman" w:hAnsi="Tw Cen MT" w:cs="Times New Roman"/>
          <w:sz w:val="24"/>
          <w:szCs w:val="24"/>
          <w:lang w:eastAsia="pt-PT"/>
        </w:rPr>
        <w:t xml:space="preserve"> deve ser analisado</w:t>
      </w:r>
      <w:r w:rsidR="002D4518" w:rsidRPr="006F4CB0">
        <w:rPr>
          <w:rFonts w:ascii="Tw Cen MT" w:eastAsia="Times New Roman" w:hAnsi="Tw Cen MT" w:cs="Times New Roman"/>
          <w:sz w:val="24"/>
          <w:szCs w:val="24"/>
          <w:lang w:eastAsia="pt-PT"/>
        </w:rPr>
        <w:t xml:space="preserve"> com os alunos</w:t>
      </w:r>
      <w:r w:rsidRPr="006F4CB0">
        <w:rPr>
          <w:rFonts w:ascii="Tw Cen MT" w:eastAsia="Times New Roman" w:hAnsi="Tw Cen MT" w:cs="Times New Roman"/>
          <w:sz w:val="24"/>
          <w:szCs w:val="24"/>
          <w:lang w:eastAsia="pt-PT"/>
        </w:rPr>
        <w:t>, para que fiquem devidamente informados sobre a prova que irão realizar.</w:t>
      </w:r>
    </w:p>
    <w:p w14:paraId="263DB77F" w14:textId="77777777" w:rsidR="006F24D8" w:rsidRDefault="006F24D8" w:rsidP="006F24D8">
      <w:pPr>
        <w:pStyle w:val="CorpoA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</w:p>
    <w:p w14:paraId="4DD715DC" w14:textId="0EB11763" w:rsidR="006F24D8" w:rsidRDefault="006F24D8" w:rsidP="006F24D8">
      <w:pPr>
        <w:pStyle w:val="CorpoA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</w:p>
    <w:p w14:paraId="3ADAE052" w14:textId="77777777" w:rsidR="00BC7C56" w:rsidRDefault="00BC7C56" w:rsidP="006F24D8">
      <w:pPr>
        <w:pStyle w:val="CorpoA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</w:p>
    <w:p w14:paraId="5980882B" w14:textId="77777777" w:rsidR="006F24D8" w:rsidRDefault="006F24D8" w:rsidP="006F24D8">
      <w:pPr>
        <w:pStyle w:val="CorpoA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</w:p>
    <w:p w14:paraId="6B65DEBC" w14:textId="4F6E675F" w:rsidR="006A5C1A" w:rsidRPr="006F4CB0" w:rsidRDefault="006A5C1A" w:rsidP="006F24D8">
      <w:pPr>
        <w:pStyle w:val="CorpoA"/>
        <w:spacing w:after="0" w:line="36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006F4CB0">
        <w:rPr>
          <w:rFonts w:ascii="Tw Cen MT" w:hAnsi="Tw Cen MT"/>
          <w:b/>
          <w:bCs/>
          <w:sz w:val="24"/>
          <w:szCs w:val="24"/>
          <w:u w:val="single"/>
        </w:rPr>
        <w:lastRenderedPageBreak/>
        <w:t>Objeto de avaliação</w:t>
      </w:r>
    </w:p>
    <w:p w14:paraId="3E1EC430" w14:textId="77777777" w:rsidR="006A5C1A" w:rsidRPr="006F4CB0" w:rsidRDefault="006A5C1A" w:rsidP="006F24D8">
      <w:pPr>
        <w:pStyle w:val="CorpoA"/>
        <w:spacing w:after="0" w:line="360" w:lineRule="auto"/>
        <w:jc w:val="both"/>
        <w:rPr>
          <w:rFonts w:ascii="Tw Cen MT" w:eastAsia="Tw Cen MT" w:hAnsi="Tw Cen MT" w:cs="Tw Cen MT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 xml:space="preserve">A prova tem por referência </w:t>
      </w:r>
      <w:r w:rsidRPr="006F4CB0">
        <w:rPr>
          <w:rFonts w:ascii="Tw Cen MT" w:hAnsi="Tw Cen MT"/>
          <w:color w:val="auto"/>
          <w:sz w:val="24"/>
          <w:szCs w:val="24"/>
          <w:shd w:val="clear" w:color="auto" w:fill="FFFFFF"/>
        </w:rPr>
        <w:t>o Perfil dos Alunos à Saída da Escolaridade Obrigatória e Aprendizagens Essenciais</w:t>
      </w:r>
      <w:r w:rsidRPr="006F4CB0">
        <w:rPr>
          <w:rFonts w:ascii="Tw Cen MT" w:hAnsi="Tw Cen MT"/>
          <w:color w:val="auto"/>
          <w:sz w:val="24"/>
          <w:szCs w:val="24"/>
        </w:rPr>
        <w:t xml:space="preserve"> </w:t>
      </w:r>
      <w:r w:rsidRPr="006F4CB0">
        <w:rPr>
          <w:rFonts w:ascii="Tw Cen MT" w:hAnsi="Tw Cen MT"/>
          <w:sz w:val="24"/>
          <w:szCs w:val="24"/>
        </w:rPr>
        <w:t>de Educação Visual do Ensino Básico e permite avaliar a aprendizagem passível de avaliação numa prova escrita de duração limitada.</w:t>
      </w:r>
    </w:p>
    <w:p w14:paraId="3D5942E0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24675242" w14:textId="02DE6B6A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  <w:r w:rsidRPr="006F4CB0">
        <w:rPr>
          <w:rFonts w:ascii="Tw Cen MT" w:hAnsi="Tw Cen MT"/>
          <w:b/>
          <w:bCs/>
          <w:sz w:val="24"/>
          <w:szCs w:val="24"/>
          <w:u w:val="single"/>
        </w:rPr>
        <w:t>Características da prova</w:t>
      </w:r>
    </w:p>
    <w:p w14:paraId="2ACB8160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/>
          <w:b/>
          <w:bCs/>
          <w:sz w:val="24"/>
          <w:szCs w:val="24"/>
        </w:rPr>
        <w:t xml:space="preserve">      </w:t>
      </w:r>
      <w:r w:rsidRPr="006F4CB0">
        <w:rPr>
          <w:rFonts w:ascii="Tw Cen MT" w:hAnsi="Tw Cen MT" w:cs="LucidaSans-Demi"/>
          <w:sz w:val="24"/>
          <w:szCs w:val="24"/>
        </w:rPr>
        <w:t>A prova apresenta 3 grupos de resposta.</w:t>
      </w:r>
    </w:p>
    <w:p w14:paraId="5C2EF9B8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 xml:space="preserve">     Todas as questões envolvem problemas de representação, são de resolução exclusivamente gráfica e envolvem a mobilização de aprendizagens relativas aos domínios/temas do programa.</w:t>
      </w:r>
    </w:p>
    <w:p w14:paraId="112EEA61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eastAsia="Tw Cen MT" w:hAnsi="Tw Cen MT" w:cs="Tw Cen MT"/>
          <w:b/>
          <w:bCs/>
          <w:sz w:val="24"/>
          <w:szCs w:val="24"/>
          <w:u w:val="single"/>
        </w:rPr>
      </w:pPr>
      <w:r w:rsidRPr="006F4CB0">
        <w:rPr>
          <w:rFonts w:ascii="Tw Cen MT" w:hAnsi="Tw Cen MT" w:cs="LucidaSans-Demi"/>
          <w:sz w:val="24"/>
          <w:szCs w:val="24"/>
        </w:rPr>
        <w:t xml:space="preserve">     Não são pedidos, nem considerados como forma de resposta, quaisquer tipos de legendas ou de relatórios.</w:t>
      </w:r>
    </w:p>
    <w:p w14:paraId="4FE2393E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 xml:space="preserve">    A prova é cotada para 100 pontos.</w:t>
      </w:r>
    </w:p>
    <w:p w14:paraId="43CD8407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/>
          <w:sz w:val="24"/>
          <w:szCs w:val="24"/>
        </w:rPr>
      </w:pPr>
    </w:p>
    <w:p w14:paraId="34BAED98" w14:textId="2E16A16C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  <w:r w:rsidRPr="006F4CB0">
        <w:rPr>
          <w:rFonts w:ascii="Tw Cen MT" w:hAnsi="Tw Cen MT"/>
          <w:b/>
          <w:bCs/>
          <w:sz w:val="24"/>
          <w:szCs w:val="24"/>
          <w:u w:val="single"/>
        </w:rPr>
        <w:t>Critérios gerais de classificação</w:t>
      </w:r>
    </w:p>
    <w:p w14:paraId="0239B38B" w14:textId="77777777" w:rsidR="006A5C1A" w:rsidRPr="006F4CB0" w:rsidRDefault="006A5C1A" w:rsidP="006F24D8">
      <w:pPr>
        <w:autoSpaceDE w:val="0"/>
        <w:autoSpaceDN w:val="0"/>
        <w:adjustRightInd w:val="0"/>
        <w:spacing w:after="0" w:line="360" w:lineRule="auto"/>
        <w:contextualSpacing/>
        <w:rPr>
          <w:rFonts w:ascii="Tw Cen MT" w:eastAsia="Times New Roman" w:hAnsi="Tw Cen MT" w:cstheme="minorHAnsi"/>
          <w:color w:val="000000"/>
          <w:sz w:val="24"/>
          <w:szCs w:val="24"/>
          <w:lang w:eastAsia="pt-PT"/>
        </w:rPr>
      </w:pPr>
      <w:r w:rsidRPr="006F4CB0">
        <w:rPr>
          <w:rFonts w:ascii="Tw Cen MT" w:eastAsia="Times New Roman" w:hAnsi="Tw Cen MT" w:cstheme="minorHAnsi"/>
          <w:color w:val="000000"/>
          <w:sz w:val="24"/>
          <w:szCs w:val="24"/>
          <w:lang w:eastAsia="pt-PT"/>
        </w:rPr>
        <w:t xml:space="preserve">A estrutura da prova sintetiza-se no </w:t>
      </w:r>
      <w:r w:rsidRPr="006F4CB0">
        <w:rPr>
          <w:rFonts w:ascii="Tw Cen MT" w:eastAsia="Times New Roman" w:hAnsi="Tw Cen MT" w:cstheme="minorHAnsi"/>
          <w:b/>
          <w:bCs/>
          <w:color w:val="000000"/>
          <w:sz w:val="24"/>
          <w:szCs w:val="24"/>
          <w:lang w:eastAsia="pt-PT"/>
        </w:rPr>
        <w:t>Quadro 1</w:t>
      </w:r>
      <w:r w:rsidRPr="006F4CB0">
        <w:rPr>
          <w:rFonts w:ascii="Tw Cen MT" w:eastAsia="Times New Roman" w:hAnsi="Tw Cen MT" w:cstheme="minorHAnsi"/>
          <w:color w:val="000000"/>
          <w:sz w:val="24"/>
          <w:szCs w:val="24"/>
          <w:lang w:eastAsia="pt-PT"/>
        </w:rPr>
        <w:t>.</w:t>
      </w:r>
    </w:p>
    <w:p w14:paraId="7AA98E5F" w14:textId="77777777" w:rsidR="006A5C1A" w:rsidRPr="006F4CB0" w:rsidRDefault="006A5C1A" w:rsidP="006F24D8">
      <w:pPr>
        <w:autoSpaceDE w:val="0"/>
        <w:autoSpaceDN w:val="0"/>
        <w:adjustRightInd w:val="0"/>
        <w:spacing w:after="0" w:line="360" w:lineRule="auto"/>
        <w:rPr>
          <w:rFonts w:ascii="Tw Cen MT" w:eastAsia="Times New Roman" w:hAnsi="Tw Cen MT" w:cstheme="minorHAnsi"/>
          <w:color w:val="000000"/>
          <w:sz w:val="24"/>
          <w:szCs w:val="24"/>
          <w:lang w:eastAsia="pt-PT"/>
        </w:rPr>
      </w:pPr>
      <w:r w:rsidRPr="006F4CB0">
        <w:rPr>
          <w:rFonts w:ascii="Tw Cen MT" w:eastAsia="Times New Roman" w:hAnsi="Tw Cen MT" w:cstheme="minorHAnsi"/>
          <w:b/>
          <w:bCs/>
          <w:color w:val="000000"/>
          <w:sz w:val="24"/>
          <w:szCs w:val="24"/>
          <w:lang w:eastAsia="pt-PT"/>
        </w:rPr>
        <w:t>Quadro 1</w:t>
      </w:r>
      <w:r w:rsidRPr="006F4CB0">
        <w:rPr>
          <w:rFonts w:ascii="Tw Cen MT" w:eastAsia="Times New Roman" w:hAnsi="Tw Cen MT" w:cstheme="minorHAnsi"/>
          <w:color w:val="000000"/>
          <w:sz w:val="24"/>
          <w:szCs w:val="24"/>
          <w:lang w:eastAsia="pt-PT"/>
        </w:rPr>
        <w:t xml:space="preserve"> – Domínios, conteúdos na prova, tipos de itens possíveis e cotação.</w:t>
      </w:r>
    </w:p>
    <w:tbl>
      <w:tblPr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22"/>
        <w:gridCol w:w="2643"/>
        <w:gridCol w:w="1763"/>
        <w:gridCol w:w="2508"/>
      </w:tblGrid>
      <w:tr w:rsidR="006A5C1A" w:rsidRPr="006F4CB0" w14:paraId="0C3094BA" w14:textId="77777777" w:rsidTr="006A5C1A">
        <w:trPr>
          <w:trHeight w:val="683"/>
        </w:trPr>
        <w:tc>
          <w:tcPr>
            <w:tcW w:w="1449" w:type="pct"/>
            <w:shd w:val="clear" w:color="auto" w:fill="BFBFBF"/>
            <w:vAlign w:val="center"/>
          </w:tcPr>
          <w:p w14:paraId="55C7B92A" w14:textId="77777777" w:rsidR="006A5C1A" w:rsidRPr="006F4CB0" w:rsidRDefault="006A5C1A" w:rsidP="006F24D8">
            <w:pPr>
              <w:spacing w:after="0" w:line="360" w:lineRule="auto"/>
              <w:jc w:val="center"/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</w:pPr>
            <w:r w:rsidRPr="006F4CB0"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  <w:t>Domínios</w:t>
            </w:r>
          </w:p>
        </w:tc>
        <w:tc>
          <w:tcPr>
            <w:tcW w:w="1357" w:type="pct"/>
            <w:shd w:val="clear" w:color="auto" w:fill="BFBFBF" w:themeFill="background1" w:themeFillShade="BF"/>
            <w:vAlign w:val="center"/>
          </w:tcPr>
          <w:p w14:paraId="6A176B54" w14:textId="77777777" w:rsidR="006A5C1A" w:rsidRPr="006F4CB0" w:rsidRDefault="006A5C1A" w:rsidP="006F24D8">
            <w:pPr>
              <w:tabs>
                <w:tab w:val="left" w:pos="505"/>
              </w:tabs>
              <w:spacing w:after="0" w:line="360" w:lineRule="auto"/>
              <w:jc w:val="center"/>
              <w:rPr>
                <w:rFonts w:ascii="Tw Cen MT" w:eastAsia="Times New Roman" w:hAnsi="Tw Cen MT" w:cstheme="minorHAnsi"/>
                <w:sz w:val="24"/>
                <w:szCs w:val="24"/>
                <w:highlight w:val="yellow"/>
                <w:lang w:eastAsia="pt-PT"/>
              </w:rPr>
            </w:pPr>
            <w:r w:rsidRPr="006F4CB0"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  <w:t>Conteúdos</w:t>
            </w:r>
          </w:p>
        </w:tc>
        <w:tc>
          <w:tcPr>
            <w:tcW w:w="905" w:type="pct"/>
            <w:shd w:val="clear" w:color="auto" w:fill="BFBFBF"/>
            <w:vAlign w:val="center"/>
          </w:tcPr>
          <w:p w14:paraId="1F7D6503" w14:textId="77777777" w:rsidR="006A5C1A" w:rsidRPr="006F4CB0" w:rsidRDefault="006A5C1A" w:rsidP="006F24D8">
            <w:pPr>
              <w:spacing w:after="0" w:line="360" w:lineRule="auto"/>
              <w:jc w:val="center"/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</w:pPr>
            <w:r w:rsidRPr="006F4CB0"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  <w:t>Tipos de itens possíveis</w:t>
            </w:r>
          </w:p>
        </w:tc>
        <w:tc>
          <w:tcPr>
            <w:tcW w:w="1288" w:type="pct"/>
            <w:shd w:val="clear" w:color="auto" w:fill="BFBFBF"/>
            <w:vAlign w:val="center"/>
          </w:tcPr>
          <w:p w14:paraId="2898E25B" w14:textId="77777777" w:rsidR="006A5C1A" w:rsidRPr="006F4CB0" w:rsidRDefault="006A5C1A" w:rsidP="006F24D8">
            <w:pPr>
              <w:spacing w:after="0" w:line="360" w:lineRule="auto"/>
              <w:jc w:val="center"/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</w:pPr>
            <w:r w:rsidRPr="006F4CB0"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  <w:t>Cotação (em pontos)</w:t>
            </w:r>
          </w:p>
        </w:tc>
      </w:tr>
      <w:tr w:rsidR="006F24D8" w:rsidRPr="006F4CB0" w14:paraId="20B6F181" w14:textId="77777777" w:rsidTr="006A5C1A">
        <w:trPr>
          <w:trHeight w:val="925"/>
        </w:trPr>
        <w:tc>
          <w:tcPr>
            <w:tcW w:w="1449" w:type="pct"/>
            <w:vMerge w:val="restart"/>
            <w:shd w:val="clear" w:color="auto" w:fill="auto"/>
            <w:vAlign w:val="center"/>
          </w:tcPr>
          <w:p w14:paraId="3EC66AFA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w Cen MT" w:hAnsi="Tw Cen MT" w:cstheme="minorHAnsi"/>
              </w:rPr>
            </w:pPr>
            <w:r w:rsidRPr="006F4CB0">
              <w:rPr>
                <w:rFonts w:ascii="Tw Cen MT" w:hAnsi="Tw Cen MT" w:cstheme="minorHAnsi"/>
              </w:rPr>
              <w:t>Apropriação e reflexão</w:t>
            </w:r>
          </w:p>
          <w:p w14:paraId="5D02D6A1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rPr>
                <w:rFonts w:ascii="Tw Cen MT" w:hAnsi="Tw Cen MT" w:cstheme="minorHAnsi"/>
              </w:rPr>
            </w:pPr>
            <w:r w:rsidRPr="006F4CB0">
              <w:rPr>
                <w:rFonts w:ascii="Tw Cen MT" w:hAnsi="Tw Cen MT" w:cstheme="minorHAnsi"/>
              </w:rPr>
              <w:t>Interpretação e comunicação</w:t>
            </w:r>
          </w:p>
          <w:p w14:paraId="50F0C836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w Cen MT" w:hAnsi="Tw Cen MT" w:cstheme="minorHAnsi"/>
              </w:rPr>
            </w:pPr>
            <w:r w:rsidRPr="006F4CB0">
              <w:rPr>
                <w:rFonts w:ascii="Tw Cen MT" w:eastAsia="Calibri" w:hAnsi="Tw Cen MT" w:cs="Calibri"/>
              </w:rPr>
              <w:t>Experimentação e criação</w:t>
            </w:r>
          </w:p>
        </w:tc>
        <w:tc>
          <w:tcPr>
            <w:tcW w:w="1357" w:type="pct"/>
          </w:tcPr>
          <w:p w14:paraId="403DA4C5" w14:textId="77777777" w:rsidR="006A5C1A" w:rsidRPr="006F4CB0" w:rsidRDefault="006A5C1A" w:rsidP="006F24D8">
            <w:pPr>
              <w:tabs>
                <w:tab w:val="left" w:pos="295"/>
              </w:tabs>
              <w:spacing w:after="0" w:line="360" w:lineRule="auto"/>
              <w:rPr>
                <w:rFonts w:ascii="Tw Cen MT" w:eastAsia="Times New Roman" w:hAnsi="Tw Cen MT" w:cstheme="minorHAnsi"/>
                <w:i/>
                <w:sz w:val="24"/>
                <w:szCs w:val="24"/>
                <w:lang w:eastAsia="pt-PT"/>
              </w:rPr>
            </w:pPr>
            <w:r w:rsidRPr="006F4CB0">
              <w:rPr>
                <w:rFonts w:ascii="Tw Cen MT" w:hAnsi="Tw Cen MT" w:cs="LucidaSans-Demi"/>
                <w:sz w:val="24"/>
                <w:szCs w:val="24"/>
              </w:rPr>
              <w:t>Representação rigorosa do espaço</w:t>
            </w:r>
          </w:p>
        </w:tc>
        <w:tc>
          <w:tcPr>
            <w:tcW w:w="905" w:type="pct"/>
          </w:tcPr>
          <w:p w14:paraId="17E6FBA6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rPr>
                <w:rFonts w:ascii="Tw Cen MT" w:hAnsi="Tw Cen MT" w:cstheme="minorHAnsi"/>
              </w:rPr>
            </w:pPr>
            <w:r w:rsidRPr="006F4CB0">
              <w:rPr>
                <w:rFonts w:ascii="Tw Cen MT" w:hAnsi="Tw Cen MT" w:cs="LucidaSans-Demi"/>
              </w:rPr>
              <w:t>Grupo 1</w:t>
            </w:r>
          </w:p>
        </w:tc>
        <w:tc>
          <w:tcPr>
            <w:tcW w:w="1288" w:type="pct"/>
          </w:tcPr>
          <w:p w14:paraId="1350E03B" w14:textId="77777777" w:rsidR="006A5C1A" w:rsidRPr="006F4CB0" w:rsidRDefault="006A5C1A" w:rsidP="006F24D8">
            <w:pPr>
              <w:spacing w:after="0" w:line="360" w:lineRule="auto"/>
              <w:jc w:val="center"/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</w:pPr>
            <w:r w:rsidRPr="006F4CB0">
              <w:rPr>
                <w:rFonts w:ascii="Tw Cen MT" w:hAnsi="Tw Cen MT" w:cs="LucidaSans-Demi"/>
                <w:sz w:val="24"/>
                <w:szCs w:val="24"/>
              </w:rPr>
              <w:t>(15+15) 30 Pontos</w:t>
            </w:r>
          </w:p>
        </w:tc>
      </w:tr>
      <w:tr w:rsidR="006F24D8" w:rsidRPr="006F4CB0" w14:paraId="31BB8A7B" w14:textId="77777777" w:rsidTr="006A5C1A">
        <w:trPr>
          <w:trHeight w:val="925"/>
        </w:trPr>
        <w:tc>
          <w:tcPr>
            <w:tcW w:w="1449" w:type="pct"/>
            <w:vMerge/>
            <w:shd w:val="clear" w:color="auto" w:fill="auto"/>
            <w:vAlign w:val="center"/>
          </w:tcPr>
          <w:p w14:paraId="255BB2F0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357" w:type="pct"/>
          </w:tcPr>
          <w:p w14:paraId="49EC6931" w14:textId="77777777" w:rsidR="006A5C1A" w:rsidRPr="006F4CB0" w:rsidRDefault="006A5C1A" w:rsidP="006F24D8">
            <w:pPr>
              <w:tabs>
                <w:tab w:val="left" w:pos="295"/>
              </w:tabs>
              <w:spacing w:after="0" w:line="360" w:lineRule="auto"/>
              <w:rPr>
                <w:rFonts w:ascii="Tw Cen MT" w:eastAsia="Times New Roman" w:hAnsi="Tw Cen MT" w:cstheme="minorHAnsi"/>
                <w:i/>
                <w:sz w:val="24"/>
                <w:szCs w:val="24"/>
                <w:lang w:eastAsia="pt-PT"/>
              </w:rPr>
            </w:pPr>
            <w:r w:rsidRPr="006F4CB0">
              <w:rPr>
                <w:rFonts w:ascii="Tw Cen MT" w:hAnsi="Tw Cen MT" w:cs="LucidaSans-Demi"/>
                <w:sz w:val="24"/>
                <w:szCs w:val="24"/>
              </w:rPr>
              <w:t>Representação do real</w:t>
            </w:r>
          </w:p>
        </w:tc>
        <w:tc>
          <w:tcPr>
            <w:tcW w:w="905" w:type="pct"/>
          </w:tcPr>
          <w:p w14:paraId="0D8C6BFF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rPr>
                <w:rFonts w:ascii="Tw Cen MT" w:hAnsi="Tw Cen MT" w:cs="LucidaSans-Demi"/>
              </w:rPr>
            </w:pPr>
            <w:r w:rsidRPr="006F4CB0">
              <w:rPr>
                <w:rFonts w:ascii="Tw Cen MT" w:hAnsi="Tw Cen MT" w:cs="LucidaSans-Demi"/>
              </w:rPr>
              <w:t>Grupo 2</w:t>
            </w:r>
          </w:p>
        </w:tc>
        <w:tc>
          <w:tcPr>
            <w:tcW w:w="1288" w:type="pct"/>
          </w:tcPr>
          <w:p w14:paraId="5F17DE64" w14:textId="77777777" w:rsidR="006A5C1A" w:rsidRPr="006F4CB0" w:rsidRDefault="006A5C1A" w:rsidP="006F24D8">
            <w:pPr>
              <w:spacing w:after="0" w:line="360" w:lineRule="auto"/>
              <w:jc w:val="center"/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</w:pPr>
            <w:r w:rsidRPr="006F4CB0">
              <w:rPr>
                <w:rFonts w:ascii="Tw Cen MT" w:hAnsi="Tw Cen MT" w:cs="LucidaSans-Demi"/>
                <w:sz w:val="24"/>
                <w:szCs w:val="24"/>
              </w:rPr>
              <w:t>(15+15) 30 Pontos</w:t>
            </w:r>
          </w:p>
        </w:tc>
      </w:tr>
      <w:tr w:rsidR="006F24D8" w:rsidRPr="006F4CB0" w14:paraId="6F15E03D" w14:textId="77777777" w:rsidTr="006A5C1A">
        <w:trPr>
          <w:trHeight w:val="925"/>
        </w:trPr>
        <w:tc>
          <w:tcPr>
            <w:tcW w:w="1449" w:type="pct"/>
            <w:vMerge/>
            <w:shd w:val="clear" w:color="auto" w:fill="auto"/>
            <w:vAlign w:val="center"/>
          </w:tcPr>
          <w:p w14:paraId="02BC5699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jc w:val="both"/>
              <w:rPr>
                <w:rFonts w:ascii="Tw Cen MT" w:hAnsi="Tw Cen MT" w:cstheme="minorHAnsi"/>
              </w:rPr>
            </w:pPr>
          </w:p>
        </w:tc>
        <w:tc>
          <w:tcPr>
            <w:tcW w:w="1357" w:type="pct"/>
          </w:tcPr>
          <w:p w14:paraId="0E52CAC1" w14:textId="77777777" w:rsidR="006A5C1A" w:rsidRPr="006F4CB0" w:rsidRDefault="006A5C1A" w:rsidP="006F24D8">
            <w:pPr>
              <w:tabs>
                <w:tab w:val="left" w:pos="295"/>
              </w:tabs>
              <w:spacing w:after="0" w:line="360" w:lineRule="auto"/>
              <w:rPr>
                <w:rFonts w:ascii="Tw Cen MT" w:eastAsia="Times New Roman" w:hAnsi="Tw Cen MT" w:cstheme="minorHAnsi"/>
                <w:i/>
                <w:sz w:val="24"/>
                <w:szCs w:val="24"/>
                <w:lang w:eastAsia="pt-PT"/>
              </w:rPr>
            </w:pPr>
            <w:r w:rsidRPr="006F4CB0">
              <w:rPr>
                <w:rFonts w:ascii="Tw Cen MT" w:hAnsi="Tw Cen MT" w:cs="LucidaSans-Demi"/>
                <w:sz w:val="24"/>
                <w:szCs w:val="24"/>
              </w:rPr>
              <w:t xml:space="preserve">Exploração plástica bidimensional </w:t>
            </w:r>
          </w:p>
        </w:tc>
        <w:tc>
          <w:tcPr>
            <w:tcW w:w="905" w:type="pct"/>
          </w:tcPr>
          <w:p w14:paraId="1939172C" w14:textId="77777777" w:rsidR="006A5C1A" w:rsidRPr="006F4CB0" w:rsidRDefault="006A5C1A" w:rsidP="006F24D8">
            <w:pPr>
              <w:pStyle w:val="NormalWeb"/>
              <w:spacing w:before="0" w:beforeAutospacing="0" w:after="0" w:afterAutospacing="0" w:line="360" w:lineRule="auto"/>
              <w:rPr>
                <w:rFonts w:ascii="Tw Cen MT" w:hAnsi="Tw Cen MT" w:cs="LucidaSans-Demi"/>
              </w:rPr>
            </w:pPr>
            <w:r w:rsidRPr="006F4CB0">
              <w:rPr>
                <w:rFonts w:ascii="Tw Cen MT" w:hAnsi="Tw Cen MT" w:cs="LucidaSans-Demi"/>
              </w:rPr>
              <w:t>Grupo 3</w:t>
            </w:r>
          </w:p>
        </w:tc>
        <w:tc>
          <w:tcPr>
            <w:tcW w:w="1288" w:type="pct"/>
          </w:tcPr>
          <w:p w14:paraId="3E3AC149" w14:textId="77777777" w:rsidR="006A5C1A" w:rsidRPr="006F4CB0" w:rsidRDefault="006A5C1A" w:rsidP="006F24D8">
            <w:pPr>
              <w:spacing w:after="0" w:line="360" w:lineRule="auto"/>
              <w:jc w:val="center"/>
              <w:rPr>
                <w:rFonts w:ascii="Tw Cen MT" w:eastAsia="Times New Roman" w:hAnsi="Tw Cen MT" w:cstheme="minorHAnsi"/>
                <w:sz w:val="24"/>
                <w:szCs w:val="24"/>
                <w:lang w:eastAsia="pt-PT"/>
              </w:rPr>
            </w:pPr>
            <w:r w:rsidRPr="006F4CB0">
              <w:rPr>
                <w:rFonts w:ascii="Tw Cen MT" w:hAnsi="Tw Cen MT" w:cs="LucidaSans-Demi"/>
                <w:sz w:val="24"/>
                <w:szCs w:val="24"/>
              </w:rPr>
              <w:t>40 Pontos</w:t>
            </w:r>
          </w:p>
        </w:tc>
      </w:tr>
    </w:tbl>
    <w:p w14:paraId="35487261" w14:textId="77777777" w:rsidR="006A5C1A" w:rsidRPr="006F4CB0" w:rsidRDefault="006A5C1A" w:rsidP="006F24D8">
      <w:pPr>
        <w:pStyle w:val="CorpoA"/>
        <w:widowControl w:val="0"/>
        <w:spacing w:after="0" w:line="360" w:lineRule="auto"/>
        <w:rPr>
          <w:rFonts w:ascii="Tw Cen MT" w:eastAsia="Tw Cen MT" w:hAnsi="Tw Cen MT" w:cs="Tw Cen MT"/>
          <w:b/>
          <w:bCs/>
          <w:sz w:val="24"/>
          <w:szCs w:val="24"/>
        </w:rPr>
      </w:pPr>
    </w:p>
    <w:p w14:paraId="0DE9D72D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/>
          <w:b/>
          <w:bCs/>
          <w:sz w:val="24"/>
          <w:szCs w:val="24"/>
        </w:rPr>
        <w:t xml:space="preserve">  </w:t>
      </w:r>
      <w:r w:rsidRPr="006F4CB0">
        <w:rPr>
          <w:rFonts w:ascii="Tw Cen MT" w:hAnsi="Tw Cen MT" w:cs="LucidaSans-Demi"/>
          <w:sz w:val="24"/>
          <w:szCs w:val="24"/>
        </w:rPr>
        <w:t xml:space="preserve">   A classificação a atribuir a cada resposta resulta da aplicação dos critérios gerais e dos critérios específicos de classificação apresentados para cada item e é expressa por um número inteiro.</w:t>
      </w:r>
    </w:p>
    <w:p w14:paraId="5EF0A2DA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</w:rPr>
      </w:pPr>
      <w:r w:rsidRPr="006F4CB0">
        <w:rPr>
          <w:rFonts w:ascii="Tw Cen MT" w:hAnsi="Tw Cen MT" w:cs="LucidaSans-Demi"/>
          <w:sz w:val="24"/>
          <w:szCs w:val="24"/>
        </w:rPr>
        <w:t xml:space="preserve">     As respostas que não possam ser claramente identificadas são classificadas com zero pontos.</w:t>
      </w:r>
    </w:p>
    <w:p w14:paraId="50A4664D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</w:p>
    <w:p w14:paraId="4DF58165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  <w:r w:rsidRPr="006F4CB0">
        <w:rPr>
          <w:rFonts w:ascii="Tw Cen MT" w:hAnsi="Tw Cen MT" w:cs="LucidaSans-Demi"/>
          <w:b/>
          <w:sz w:val="24"/>
          <w:szCs w:val="24"/>
        </w:rPr>
        <w:t>A cotação a atribuir ao grupo 1 é distribuída pelos seguintes parâmetros:</w:t>
      </w:r>
    </w:p>
    <w:p w14:paraId="5E71EF55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Conhecer os diferentes tipos de representação;</w:t>
      </w:r>
    </w:p>
    <w:p w14:paraId="53F78272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Saber interpretar formas convencionadas de representação;</w:t>
      </w:r>
    </w:p>
    <w:p w14:paraId="59541ED6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Conhecer formas de representação da tridimensionalidade do plano;</w:t>
      </w:r>
    </w:p>
    <w:p w14:paraId="0B2FE644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Converter a representação por vistas em representação axonométrica ou vice-versa;</w:t>
      </w:r>
    </w:p>
    <w:p w14:paraId="47A16F1B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lastRenderedPageBreak/>
        <w:t xml:space="preserve">. Utilizar corretamente os instrumentos de desenho rigoroso. </w:t>
      </w:r>
    </w:p>
    <w:p w14:paraId="173045B0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  <w:r w:rsidRPr="006F4CB0">
        <w:rPr>
          <w:rFonts w:ascii="Tw Cen MT" w:hAnsi="Tw Cen MT" w:cs="LucidaSans-Demi"/>
          <w:b/>
          <w:sz w:val="24"/>
          <w:szCs w:val="24"/>
        </w:rPr>
        <w:t>Total: 30 Pontos</w:t>
      </w:r>
    </w:p>
    <w:p w14:paraId="31EE337A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</w:p>
    <w:p w14:paraId="1A398E30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  <w:r w:rsidRPr="006F4CB0">
        <w:rPr>
          <w:rFonts w:ascii="Tw Cen MT" w:hAnsi="Tw Cen MT" w:cs="LucidaSans-Demi"/>
          <w:b/>
          <w:sz w:val="24"/>
          <w:szCs w:val="24"/>
        </w:rPr>
        <w:t>A cotação a atribuir ao grupo 2 é distribuída pelos seguintes parâmetros:</w:t>
      </w:r>
    </w:p>
    <w:p w14:paraId="2D108A20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Representar objetos reais;</w:t>
      </w:r>
    </w:p>
    <w:p w14:paraId="6E8FBA6D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Desenvolver a capacidade de expressão.</w:t>
      </w:r>
    </w:p>
    <w:p w14:paraId="1AEFC868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  <w:r w:rsidRPr="006F4CB0">
        <w:rPr>
          <w:rFonts w:ascii="Tw Cen MT" w:hAnsi="Tw Cen MT" w:cs="LucidaSans-Demi"/>
          <w:b/>
          <w:sz w:val="24"/>
          <w:szCs w:val="24"/>
        </w:rPr>
        <w:t>Total: 30 Pontos</w:t>
      </w:r>
    </w:p>
    <w:p w14:paraId="7BE80B54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 xml:space="preserve"> </w:t>
      </w:r>
    </w:p>
    <w:p w14:paraId="100795A5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  <w:r w:rsidRPr="006F4CB0">
        <w:rPr>
          <w:rFonts w:ascii="Tw Cen MT" w:hAnsi="Tw Cen MT" w:cs="LucidaSans-Demi"/>
          <w:b/>
          <w:sz w:val="24"/>
          <w:szCs w:val="24"/>
        </w:rPr>
        <w:t>A cotação a atribuir ao grupo 3 é distribuída pelos seguintes parâmetros:</w:t>
      </w:r>
    </w:p>
    <w:p w14:paraId="0E04A5CC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Compreender a importância da imagem no processo de comunicação visual;</w:t>
      </w:r>
    </w:p>
    <w:p w14:paraId="63594831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Compreender e utilizar a imagem como representação de uma ideia a transmitir;</w:t>
      </w:r>
    </w:p>
    <w:p w14:paraId="73336BC5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Dominar os códigos de comunicação visual;</w:t>
      </w:r>
    </w:p>
    <w:p w14:paraId="16BA5AF5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Conhecer os processos para obtenção de composições equilibradas e esteticamente válidas;</w:t>
      </w:r>
    </w:p>
    <w:p w14:paraId="06401C2F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Compreender a manipulação gráfica na agilização da comunicação;</w:t>
      </w:r>
    </w:p>
    <w:p w14:paraId="6485ECDF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Utilizar adequadamente a estrutura de campo na organização dos elementos visuais;</w:t>
      </w:r>
    </w:p>
    <w:p w14:paraId="00DD10E4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Obter efeitos visuais atraentes;</w:t>
      </w:r>
    </w:p>
    <w:p w14:paraId="3BDDA131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Conhecer o vocabulário específico da cor;</w:t>
      </w:r>
    </w:p>
    <w:p w14:paraId="407DAEA4" w14:textId="77777777" w:rsidR="006A5C1A" w:rsidRPr="006F4CB0" w:rsidRDefault="006A5C1A" w:rsidP="006F24D8">
      <w:pPr>
        <w:spacing w:after="0" w:line="360" w:lineRule="auto"/>
        <w:jc w:val="both"/>
        <w:rPr>
          <w:rFonts w:ascii="Tw Cen MT" w:hAnsi="Tw Cen MT" w:cs="LucidaSans-Demi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. Utilizar adequadamente a cor na relação figura-fundo.</w:t>
      </w:r>
    </w:p>
    <w:p w14:paraId="3758D492" w14:textId="52530E13" w:rsidR="006A5C1A" w:rsidRDefault="006A5C1A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  <w:r w:rsidRPr="006F4CB0">
        <w:rPr>
          <w:rFonts w:ascii="Tw Cen MT" w:hAnsi="Tw Cen MT" w:cs="LucidaSans-Demi"/>
          <w:b/>
          <w:sz w:val="24"/>
          <w:szCs w:val="24"/>
        </w:rPr>
        <w:t>Total: 40 Pontos</w:t>
      </w:r>
    </w:p>
    <w:p w14:paraId="68428BD2" w14:textId="77777777" w:rsidR="006F4CB0" w:rsidRDefault="006F4CB0" w:rsidP="006F24D8">
      <w:pPr>
        <w:spacing w:after="0" w:line="360" w:lineRule="auto"/>
        <w:jc w:val="both"/>
        <w:rPr>
          <w:rFonts w:ascii="Tw Cen MT" w:hAnsi="Tw Cen MT" w:cs="LucidaSans-Demi"/>
          <w:b/>
          <w:sz w:val="24"/>
          <w:szCs w:val="24"/>
        </w:rPr>
      </w:pPr>
    </w:p>
    <w:p w14:paraId="65DFBD01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/>
          <w:b/>
          <w:bCs/>
          <w:sz w:val="24"/>
          <w:szCs w:val="24"/>
          <w:u w:val="single"/>
          <w:lang w:val="it-IT"/>
        </w:rPr>
      </w:pPr>
      <w:r w:rsidRPr="006F4CB0">
        <w:rPr>
          <w:rFonts w:ascii="Tw Cen MT" w:hAnsi="Tw Cen MT"/>
          <w:b/>
          <w:bCs/>
          <w:sz w:val="24"/>
          <w:szCs w:val="24"/>
          <w:u w:val="single"/>
          <w:lang w:val="it-IT"/>
        </w:rPr>
        <w:t>Material</w:t>
      </w:r>
    </w:p>
    <w:p w14:paraId="5362B2A4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b/>
          <w:bCs/>
          <w:sz w:val="24"/>
          <w:szCs w:val="24"/>
          <w:lang w:val="it-IT"/>
        </w:rPr>
        <w:t xml:space="preserve">     </w:t>
      </w:r>
      <w:r w:rsidRPr="006F4CB0">
        <w:rPr>
          <w:rFonts w:ascii="Tw Cen MT" w:hAnsi="Tw Cen MT" w:cs="Arial"/>
          <w:sz w:val="24"/>
          <w:szCs w:val="24"/>
        </w:rPr>
        <w:t xml:space="preserve">No preenchimento do cabeçalho, o examinando apenas pode usar, como material de escrita, caneta ou esferográfica de tinta indelével. </w:t>
      </w:r>
    </w:p>
    <w:p w14:paraId="0C6C3145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 w:cs="Arial"/>
          <w:sz w:val="24"/>
          <w:szCs w:val="24"/>
        </w:rPr>
        <w:t xml:space="preserve">     Na realização dos traçados gráficos deverá utilizar lápis de grafite/lapiseira e/ou lápis de cor, de acordo com a tipologia dos exercícios. </w:t>
      </w:r>
    </w:p>
    <w:p w14:paraId="2DAAE8ED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 w:cs="Arial"/>
          <w:sz w:val="24"/>
          <w:szCs w:val="24"/>
        </w:rPr>
        <w:t xml:space="preserve">     As respostas são registadas em folhas de papel A3 (42cm x 29,7 cm), fornecidas pelo estabelecimento de ensino.</w:t>
      </w:r>
    </w:p>
    <w:p w14:paraId="10B6A32B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eastAsia="Tw Cen MT" w:hAnsi="Tw Cen MT" w:cs="Tw Cen MT"/>
          <w:b/>
          <w:bCs/>
          <w:sz w:val="24"/>
          <w:szCs w:val="24"/>
          <w:u w:val="single"/>
        </w:rPr>
      </w:pPr>
      <w:r w:rsidRPr="006F4CB0">
        <w:rPr>
          <w:rFonts w:ascii="Tw Cen MT" w:hAnsi="Tw Cen MT" w:cs="Arial"/>
          <w:sz w:val="24"/>
          <w:szCs w:val="24"/>
        </w:rPr>
        <w:t xml:space="preserve">     O examinando deve ser portador do seguinte material:</w:t>
      </w:r>
      <w:r w:rsidRPr="006F4CB0">
        <w:rPr>
          <w:rFonts w:ascii="Tw Cen MT" w:hAnsi="Tw Cen MT"/>
          <w:sz w:val="24"/>
          <w:szCs w:val="24"/>
        </w:rPr>
        <w:t xml:space="preserve"> </w:t>
      </w:r>
    </w:p>
    <w:p w14:paraId="499E5EA5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 w:cs="Arial"/>
          <w:sz w:val="24"/>
          <w:szCs w:val="24"/>
        </w:rPr>
        <w:t>Caneta ou esferográfica de tinta indelével;</w:t>
      </w:r>
    </w:p>
    <w:p w14:paraId="5BA1B85B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Lápis de dureza B ou 2B;</w:t>
      </w:r>
    </w:p>
    <w:p w14:paraId="662A61C9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 w:cs="LucidaSans-Demi"/>
          <w:sz w:val="24"/>
          <w:szCs w:val="24"/>
        </w:rPr>
        <w:t>Lápis nº2 ou porta minas (HB);</w:t>
      </w:r>
    </w:p>
    <w:p w14:paraId="02F636FD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>Borracha;</w:t>
      </w:r>
    </w:p>
    <w:p w14:paraId="3AA828A8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>Régua (30 a 50 cm);</w:t>
      </w:r>
    </w:p>
    <w:p w14:paraId="602C76F8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>Esquadro;</w:t>
      </w:r>
    </w:p>
    <w:p w14:paraId="24DCF2F2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>Compasso;</w:t>
      </w:r>
    </w:p>
    <w:p w14:paraId="4B60E224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lastRenderedPageBreak/>
        <w:t>Transferidor;</w:t>
      </w:r>
    </w:p>
    <w:p w14:paraId="5ED049B5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>Lápis de cor e/ ou marcadores;</w:t>
      </w:r>
    </w:p>
    <w:p w14:paraId="77A87B4B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/>
          <w:sz w:val="24"/>
          <w:szCs w:val="24"/>
        </w:rPr>
        <w:t>1 Folha de papel vegetal.</w:t>
      </w:r>
    </w:p>
    <w:p w14:paraId="158EE495" w14:textId="77777777" w:rsidR="006A5C1A" w:rsidRPr="006F4CB0" w:rsidRDefault="006A5C1A" w:rsidP="006F24D8">
      <w:pPr>
        <w:numPr>
          <w:ilvl w:val="0"/>
          <w:numId w:val="6"/>
        </w:numPr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w Cen MT" w:hAnsi="Tw Cen MT" w:cs="Arial"/>
          <w:sz w:val="24"/>
          <w:szCs w:val="24"/>
        </w:rPr>
      </w:pPr>
      <w:r w:rsidRPr="006F4CB0">
        <w:rPr>
          <w:rFonts w:ascii="Tw Cen MT" w:hAnsi="Tw Cen MT" w:cs="Georgia"/>
          <w:sz w:val="24"/>
          <w:szCs w:val="24"/>
        </w:rPr>
        <w:t>Não é permitido o uso de corretor.</w:t>
      </w:r>
    </w:p>
    <w:p w14:paraId="358E6B64" w14:textId="77777777" w:rsidR="006A5C1A" w:rsidRPr="006F4CB0" w:rsidRDefault="006A5C1A" w:rsidP="006F24D8">
      <w:pPr>
        <w:pStyle w:val="CorpoA"/>
        <w:widowControl w:val="0"/>
        <w:spacing w:after="0" w:line="360" w:lineRule="auto"/>
        <w:jc w:val="both"/>
        <w:rPr>
          <w:rFonts w:ascii="Tw Cen MT" w:eastAsia="Tw Cen MT" w:hAnsi="Tw Cen MT" w:cs="Tw Cen MT"/>
          <w:b/>
          <w:bCs/>
          <w:sz w:val="24"/>
          <w:szCs w:val="24"/>
          <w:u w:val="single"/>
        </w:rPr>
      </w:pPr>
    </w:p>
    <w:p w14:paraId="01A9E88A" w14:textId="77777777" w:rsidR="006A5C1A" w:rsidRPr="006F4CB0" w:rsidRDefault="006A5C1A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theme="minorHAnsi"/>
          <w:b/>
          <w:bCs/>
          <w:color w:val="000000"/>
          <w:spacing w:val="-3"/>
          <w:sz w:val="24"/>
          <w:szCs w:val="24"/>
          <w:lang w:eastAsia="pt-PT"/>
        </w:rPr>
      </w:pPr>
      <w:r w:rsidRPr="006F4CB0">
        <w:rPr>
          <w:rFonts w:ascii="Tw Cen MT" w:eastAsia="Times New Roman" w:hAnsi="Tw Cen MT" w:cstheme="minorHAnsi"/>
          <w:b/>
          <w:bCs/>
          <w:color w:val="000000"/>
          <w:spacing w:val="-3"/>
          <w:sz w:val="24"/>
          <w:szCs w:val="24"/>
          <w:lang w:eastAsia="pt-PT"/>
        </w:rPr>
        <w:t>Duração</w:t>
      </w:r>
    </w:p>
    <w:p w14:paraId="6E4A96F3" w14:textId="77777777" w:rsidR="006A5C1A" w:rsidRPr="006F4CB0" w:rsidRDefault="006A5C1A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theme="minorHAnsi"/>
          <w:color w:val="FF0000"/>
          <w:sz w:val="24"/>
          <w:szCs w:val="24"/>
          <w:lang w:eastAsia="pt-PT"/>
        </w:rPr>
      </w:pPr>
      <w:r w:rsidRPr="006F4CB0">
        <w:rPr>
          <w:rFonts w:ascii="Tw Cen MT" w:eastAsia="Times New Roman" w:hAnsi="Tw Cen MT" w:cstheme="minorHAnsi"/>
          <w:color w:val="000000" w:themeColor="text1"/>
          <w:sz w:val="24"/>
          <w:szCs w:val="24"/>
          <w:lang w:eastAsia="pt-PT"/>
        </w:rPr>
        <w:t>A prova tem a duração de 90 minutos (mais 30 minutos de tolerância).</w:t>
      </w:r>
    </w:p>
    <w:p w14:paraId="3E8DD78C" w14:textId="77777777" w:rsidR="006A5C1A" w:rsidRPr="006F4CB0" w:rsidRDefault="006A5C1A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theme="minorHAnsi"/>
          <w:b/>
          <w:bCs/>
          <w:color w:val="000000"/>
          <w:spacing w:val="-5"/>
          <w:sz w:val="24"/>
          <w:szCs w:val="24"/>
          <w:lang w:eastAsia="pt-PT"/>
        </w:rPr>
      </w:pPr>
    </w:p>
    <w:p w14:paraId="6292F132" w14:textId="77777777" w:rsidR="006A5C1A" w:rsidRPr="006F4CB0" w:rsidRDefault="006A5C1A" w:rsidP="006F24D8">
      <w:pPr>
        <w:pStyle w:val="CorpoA"/>
        <w:spacing w:after="0" w:line="360" w:lineRule="auto"/>
        <w:jc w:val="both"/>
        <w:rPr>
          <w:rFonts w:ascii="Tw Cen MT" w:eastAsia="Tw Cen MT" w:hAnsi="Tw Cen MT" w:cs="Tw Cen MT"/>
          <w:sz w:val="24"/>
          <w:szCs w:val="24"/>
        </w:rPr>
      </w:pPr>
    </w:p>
    <w:p w14:paraId="1A7F63D2" w14:textId="77777777" w:rsidR="00F45B89" w:rsidRPr="006F4CB0" w:rsidRDefault="00F45B89" w:rsidP="006F24D8">
      <w:pPr>
        <w:autoSpaceDE w:val="0"/>
        <w:autoSpaceDN w:val="0"/>
        <w:adjustRightInd w:val="0"/>
        <w:spacing w:after="0" w:line="360" w:lineRule="auto"/>
        <w:jc w:val="both"/>
        <w:rPr>
          <w:rFonts w:ascii="Tw Cen MT" w:eastAsia="Times New Roman" w:hAnsi="Tw Cen MT" w:cs="Times New Roman"/>
          <w:sz w:val="24"/>
          <w:szCs w:val="24"/>
          <w:lang w:eastAsia="pt-PT"/>
        </w:rPr>
      </w:pPr>
    </w:p>
    <w:sectPr w:rsidR="00F45B89" w:rsidRPr="006F4CB0" w:rsidSect="00F672C2">
      <w:footerReference w:type="default" r:id="rId10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B1A745" w14:textId="77777777" w:rsidR="00186B01" w:rsidRDefault="00186B01">
      <w:pPr>
        <w:spacing w:after="0" w:line="240" w:lineRule="auto"/>
      </w:pPr>
      <w:r>
        <w:separator/>
      </w:r>
    </w:p>
  </w:endnote>
  <w:endnote w:type="continuationSeparator" w:id="0">
    <w:p w14:paraId="00B074EC" w14:textId="77777777" w:rsidR="00186B01" w:rsidRDefault="00186B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rebuchetMS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rebuchetMS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LucidaSans-Demi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B6D1C9" w14:textId="56468867" w:rsidR="00311300" w:rsidRDefault="00C34D41" w:rsidP="00604232">
    <w:pPr>
      <w:pStyle w:val="Rodap"/>
      <w:rPr>
        <w:b/>
        <w:bCs/>
        <w:sz w:val="24"/>
        <w:szCs w:val="24"/>
      </w:rPr>
    </w:pPr>
    <w:r w:rsidRPr="00A32BB8">
      <w:t xml:space="preserve">Prova </w:t>
    </w:r>
    <w:r w:rsidR="006A5C1A">
      <w:t>14</w:t>
    </w:r>
    <w:r>
      <w:t xml:space="preserve">                                                                          </w:t>
    </w:r>
    <w:r w:rsidR="006A5C1A">
      <w:t xml:space="preserve">                                                     </w:t>
    </w:r>
    <w:r>
      <w:t xml:space="preserve">                             Página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PAGE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  <w:r>
      <w:t xml:space="preserve"> de </w:t>
    </w:r>
    <w:r w:rsidR="006B4DEF">
      <w:rPr>
        <w:b/>
        <w:bCs/>
        <w:sz w:val="24"/>
        <w:szCs w:val="24"/>
      </w:rPr>
      <w:fldChar w:fldCharType="begin"/>
    </w:r>
    <w:r>
      <w:rPr>
        <w:b/>
        <w:bCs/>
      </w:rPr>
      <w:instrText>NUMPAGES</w:instrText>
    </w:r>
    <w:r w:rsidR="006B4DEF">
      <w:rPr>
        <w:b/>
        <w:bCs/>
        <w:sz w:val="24"/>
        <w:szCs w:val="24"/>
      </w:rPr>
      <w:fldChar w:fldCharType="separate"/>
    </w:r>
    <w:r w:rsidR="00DA4988">
      <w:rPr>
        <w:b/>
        <w:bCs/>
        <w:noProof/>
      </w:rPr>
      <w:t>3</w:t>
    </w:r>
    <w:r w:rsidR="006B4DEF">
      <w:rPr>
        <w:b/>
        <w:bCs/>
        <w:sz w:val="24"/>
        <w:szCs w:val="24"/>
      </w:rPr>
      <w:fldChar w:fldCharType="end"/>
    </w:r>
  </w:p>
  <w:p w14:paraId="799AD84B" w14:textId="77777777" w:rsidR="00604232" w:rsidRDefault="00000000" w:rsidP="00604232">
    <w:pPr>
      <w:pStyle w:val="Rodap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C2388" w14:textId="77777777" w:rsidR="00186B01" w:rsidRDefault="00186B01">
      <w:pPr>
        <w:spacing w:after="0" w:line="240" w:lineRule="auto"/>
      </w:pPr>
      <w:r>
        <w:separator/>
      </w:r>
    </w:p>
  </w:footnote>
  <w:footnote w:type="continuationSeparator" w:id="0">
    <w:p w14:paraId="5841B137" w14:textId="77777777" w:rsidR="00186B01" w:rsidRDefault="00186B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554E6F"/>
    <w:multiLevelType w:val="hybridMultilevel"/>
    <w:tmpl w:val="5876310E"/>
    <w:lvl w:ilvl="0" w:tplc="6980E86A">
      <w:start w:val="1"/>
      <w:numFmt w:val="bullet"/>
      <w:lvlText w:val=""/>
      <w:lvlJc w:val="left"/>
      <w:pPr>
        <w:ind w:left="373" w:hanging="253"/>
      </w:pPr>
      <w:rPr>
        <w:rFonts w:ascii="Symbol" w:eastAsia="Symbol" w:hAnsi="Symbol" w:cs="Symbol" w:hint="default"/>
        <w:color w:val="231F20"/>
        <w:w w:val="100"/>
        <w:sz w:val="20"/>
        <w:szCs w:val="20"/>
      </w:rPr>
    </w:lvl>
    <w:lvl w:ilvl="1" w:tplc="F2C4FD8E">
      <w:start w:val="1"/>
      <w:numFmt w:val="bullet"/>
      <w:lvlText w:val="•"/>
      <w:lvlJc w:val="left"/>
      <w:pPr>
        <w:ind w:left="1274" w:hanging="253"/>
      </w:pPr>
      <w:rPr>
        <w:rFonts w:hint="default"/>
      </w:rPr>
    </w:lvl>
    <w:lvl w:ilvl="2" w:tplc="D8108552">
      <w:start w:val="1"/>
      <w:numFmt w:val="bullet"/>
      <w:lvlText w:val="•"/>
      <w:lvlJc w:val="left"/>
      <w:pPr>
        <w:ind w:left="2169" w:hanging="253"/>
      </w:pPr>
      <w:rPr>
        <w:rFonts w:hint="default"/>
      </w:rPr>
    </w:lvl>
    <w:lvl w:ilvl="3" w:tplc="3DAA2EA4">
      <w:start w:val="1"/>
      <w:numFmt w:val="bullet"/>
      <w:lvlText w:val="•"/>
      <w:lvlJc w:val="left"/>
      <w:pPr>
        <w:ind w:left="3063" w:hanging="253"/>
      </w:pPr>
      <w:rPr>
        <w:rFonts w:hint="default"/>
      </w:rPr>
    </w:lvl>
    <w:lvl w:ilvl="4" w:tplc="B19098D6">
      <w:start w:val="1"/>
      <w:numFmt w:val="bullet"/>
      <w:lvlText w:val="•"/>
      <w:lvlJc w:val="left"/>
      <w:pPr>
        <w:ind w:left="3958" w:hanging="253"/>
      </w:pPr>
      <w:rPr>
        <w:rFonts w:hint="default"/>
      </w:rPr>
    </w:lvl>
    <w:lvl w:ilvl="5" w:tplc="CA5A85D2">
      <w:start w:val="1"/>
      <w:numFmt w:val="bullet"/>
      <w:lvlText w:val="•"/>
      <w:lvlJc w:val="left"/>
      <w:pPr>
        <w:ind w:left="4852" w:hanging="253"/>
      </w:pPr>
      <w:rPr>
        <w:rFonts w:hint="default"/>
      </w:rPr>
    </w:lvl>
    <w:lvl w:ilvl="6" w:tplc="39280D3E">
      <w:start w:val="1"/>
      <w:numFmt w:val="bullet"/>
      <w:lvlText w:val="•"/>
      <w:lvlJc w:val="left"/>
      <w:pPr>
        <w:ind w:left="5747" w:hanging="253"/>
      </w:pPr>
      <w:rPr>
        <w:rFonts w:hint="default"/>
      </w:rPr>
    </w:lvl>
    <w:lvl w:ilvl="7" w:tplc="3DA6573C">
      <w:start w:val="1"/>
      <w:numFmt w:val="bullet"/>
      <w:lvlText w:val="•"/>
      <w:lvlJc w:val="left"/>
      <w:pPr>
        <w:ind w:left="6641" w:hanging="253"/>
      </w:pPr>
      <w:rPr>
        <w:rFonts w:hint="default"/>
      </w:rPr>
    </w:lvl>
    <w:lvl w:ilvl="8" w:tplc="2A2088C2">
      <w:start w:val="1"/>
      <w:numFmt w:val="bullet"/>
      <w:lvlText w:val="•"/>
      <w:lvlJc w:val="left"/>
      <w:pPr>
        <w:ind w:left="7536" w:hanging="253"/>
      </w:pPr>
      <w:rPr>
        <w:rFonts w:hint="default"/>
      </w:rPr>
    </w:lvl>
  </w:abstractNum>
  <w:abstractNum w:abstractNumId="1" w15:restartNumberingAfterBreak="0">
    <w:nsid w:val="14466DF4"/>
    <w:multiLevelType w:val="hybridMultilevel"/>
    <w:tmpl w:val="C412733A"/>
    <w:lvl w:ilvl="0" w:tplc="08160001">
      <w:start w:val="1"/>
      <w:numFmt w:val="bullet"/>
      <w:lvlText w:val=""/>
      <w:lvlJc w:val="left"/>
      <w:pPr>
        <w:ind w:left="736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2" w15:restartNumberingAfterBreak="0">
    <w:nsid w:val="33481EB2"/>
    <w:multiLevelType w:val="hybridMultilevel"/>
    <w:tmpl w:val="85FC7DBE"/>
    <w:lvl w:ilvl="0" w:tplc="3CC480E2">
      <w:numFmt w:val="bullet"/>
      <w:lvlText w:val="•"/>
      <w:lvlJc w:val="left"/>
      <w:pPr>
        <w:ind w:left="1004" w:hanging="360"/>
      </w:pPr>
      <w:rPr>
        <w:rFonts w:ascii="Georgia" w:eastAsia="Calibri" w:hAnsi="Georgia" w:cs="Georgia" w:hint="default"/>
      </w:rPr>
    </w:lvl>
    <w:lvl w:ilvl="1" w:tplc="08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55D0526C"/>
    <w:multiLevelType w:val="hybridMultilevel"/>
    <w:tmpl w:val="60700A94"/>
    <w:lvl w:ilvl="0" w:tplc="2A2C20C4">
      <w:start w:val="1"/>
      <w:numFmt w:val="bullet"/>
      <w:lvlText w:val=""/>
      <w:lvlJc w:val="left"/>
      <w:pPr>
        <w:ind w:left="737" w:hanging="360"/>
      </w:pPr>
      <w:rPr>
        <w:rFonts w:ascii="Symbol" w:hAnsi="Symbol" w:hint="default"/>
        <w:sz w:val="22"/>
        <w:szCs w:val="22"/>
      </w:rPr>
    </w:lvl>
    <w:lvl w:ilvl="1" w:tplc="08160003" w:tentative="1">
      <w:start w:val="1"/>
      <w:numFmt w:val="bullet"/>
      <w:lvlText w:val="o"/>
      <w:lvlJc w:val="left"/>
      <w:pPr>
        <w:ind w:left="145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7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9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1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3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5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7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97" w:hanging="360"/>
      </w:pPr>
      <w:rPr>
        <w:rFonts w:ascii="Wingdings" w:hAnsi="Wingdings" w:hint="default"/>
      </w:rPr>
    </w:lvl>
  </w:abstractNum>
  <w:abstractNum w:abstractNumId="4" w15:restartNumberingAfterBreak="0">
    <w:nsid w:val="614429A1"/>
    <w:multiLevelType w:val="hybridMultilevel"/>
    <w:tmpl w:val="631E01F6"/>
    <w:lvl w:ilvl="0" w:tplc="0816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7F3D2531"/>
    <w:multiLevelType w:val="hybridMultilevel"/>
    <w:tmpl w:val="E39094E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8947913">
    <w:abstractNumId w:val="3"/>
  </w:num>
  <w:num w:numId="2" w16cid:durableId="542252764">
    <w:abstractNumId w:val="5"/>
  </w:num>
  <w:num w:numId="3" w16cid:durableId="652948781">
    <w:abstractNumId w:val="1"/>
  </w:num>
  <w:num w:numId="4" w16cid:durableId="804547456">
    <w:abstractNumId w:val="0"/>
  </w:num>
  <w:num w:numId="5" w16cid:durableId="1578787963">
    <w:abstractNumId w:val="4"/>
  </w:num>
  <w:num w:numId="6" w16cid:durableId="1742367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pt-PT" w:vendorID="64" w:dllVersion="6" w:nlCheck="1" w:checkStyle="0"/>
  <w:activeWritingStyle w:appName="MSWord" w:lang="pt-PT" w:vendorID="64" w:dllVersion="0" w:nlCheck="1" w:checkStyle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07B8"/>
    <w:rsid w:val="00000337"/>
    <w:rsid w:val="00012E91"/>
    <w:rsid w:val="00024C4C"/>
    <w:rsid w:val="000554F9"/>
    <w:rsid w:val="00067E69"/>
    <w:rsid w:val="000716C3"/>
    <w:rsid w:val="000D17FC"/>
    <w:rsid w:val="000F4FE8"/>
    <w:rsid w:val="0011022F"/>
    <w:rsid w:val="001211B3"/>
    <w:rsid w:val="00136DC2"/>
    <w:rsid w:val="00152291"/>
    <w:rsid w:val="0016034E"/>
    <w:rsid w:val="00170A37"/>
    <w:rsid w:val="0017202D"/>
    <w:rsid w:val="00186B01"/>
    <w:rsid w:val="001A350D"/>
    <w:rsid w:val="001D6520"/>
    <w:rsid w:val="001E777E"/>
    <w:rsid w:val="001F49B0"/>
    <w:rsid w:val="0023622C"/>
    <w:rsid w:val="00236EB4"/>
    <w:rsid w:val="00244CFA"/>
    <w:rsid w:val="002614A7"/>
    <w:rsid w:val="00294EC2"/>
    <w:rsid w:val="002B0192"/>
    <w:rsid w:val="002D4518"/>
    <w:rsid w:val="002F2711"/>
    <w:rsid w:val="00331ECA"/>
    <w:rsid w:val="00340C75"/>
    <w:rsid w:val="0036433D"/>
    <w:rsid w:val="00393A6B"/>
    <w:rsid w:val="003A4831"/>
    <w:rsid w:val="003A67B9"/>
    <w:rsid w:val="003B79C9"/>
    <w:rsid w:val="003C18E0"/>
    <w:rsid w:val="004043B1"/>
    <w:rsid w:val="00430F98"/>
    <w:rsid w:val="00452B47"/>
    <w:rsid w:val="004607B8"/>
    <w:rsid w:val="00464D93"/>
    <w:rsid w:val="00482791"/>
    <w:rsid w:val="004A7217"/>
    <w:rsid w:val="004B2E70"/>
    <w:rsid w:val="004B3759"/>
    <w:rsid w:val="004E50A7"/>
    <w:rsid w:val="00507F32"/>
    <w:rsid w:val="00513474"/>
    <w:rsid w:val="0054271A"/>
    <w:rsid w:val="00577A05"/>
    <w:rsid w:val="005D0166"/>
    <w:rsid w:val="005D4682"/>
    <w:rsid w:val="00602E61"/>
    <w:rsid w:val="0060779A"/>
    <w:rsid w:val="00631197"/>
    <w:rsid w:val="00644E48"/>
    <w:rsid w:val="00647936"/>
    <w:rsid w:val="00652624"/>
    <w:rsid w:val="00662050"/>
    <w:rsid w:val="00662826"/>
    <w:rsid w:val="006A5C1A"/>
    <w:rsid w:val="006B1D1F"/>
    <w:rsid w:val="006B4DEF"/>
    <w:rsid w:val="006D1BF2"/>
    <w:rsid w:val="006F24D8"/>
    <w:rsid w:val="006F4CB0"/>
    <w:rsid w:val="006F6387"/>
    <w:rsid w:val="006F79DE"/>
    <w:rsid w:val="007449FE"/>
    <w:rsid w:val="00753F19"/>
    <w:rsid w:val="00767F46"/>
    <w:rsid w:val="00781540"/>
    <w:rsid w:val="00782DA2"/>
    <w:rsid w:val="007B3D80"/>
    <w:rsid w:val="007B7D2C"/>
    <w:rsid w:val="007D7FEA"/>
    <w:rsid w:val="007E3810"/>
    <w:rsid w:val="007E640E"/>
    <w:rsid w:val="008038EA"/>
    <w:rsid w:val="00815BA6"/>
    <w:rsid w:val="00824789"/>
    <w:rsid w:val="00836881"/>
    <w:rsid w:val="008377B2"/>
    <w:rsid w:val="00851A72"/>
    <w:rsid w:val="00870560"/>
    <w:rsid w:val="00885DBC"/>
    <w:rsid w:val="0089465A"/>
    <w:rsid w:val="008B7EBD"/>
    <w:rsid w:val="008D6231"/>
    <w:rsid w:val="008F5CD9"/>
    <w:rsid w:val="00922199"/>
    <w:rsid w:val="00981B1C"/>
    <w:rsid w:val="009A2946"/>
    <w:rsid w:val="009B049B"/>
    <w:rsid w:val="009B2D74"/>
    <w:rsid w:val="009B3469"/>
    <w:rsid w:val="009D0FFF"/>
    <w:rsid w:val="009D7F09"/>
    <w:rsid w:val="009F15C2"/>
    <w:rsid w:val="009F6CA9"/>
    <w:rsid w:val="00A01923"/>
    <w:rsid w:val="00A241CE"/>
    <w:rsid w:val="00A32BB8"/>
    <w:rsid w:val="00A43001"/>
    <w:rsid w:val="00A472DA"/>
    <w:rsid w:val="00A6323F"/>
    <w:rsid w:val="00A63C8C"/>
    <w:rsid w:val="00A708FC"/>
    <w:rsid w:val="00A70FD2"/>
    <w:rsid w:val="00A92E9D"/>
    <w:rsid w:val="00AA6CF0"/>
    <w:rsid w:val="00AB12E7"/>
    <w:rsid w:val="00AE4716"/>
    <w:rsid w:val="00AE4AF1"/>
    <w:rsid w:val="00AF0C84"/>
    <w:rsid w:val="00B162C5"/>
    <w:rsid w:val="00B31213"/>
    <w:rsid w:val="00B36532"/>
    <w:rsid w:val="00B50913"/>
    <w:rsid w:val="00B63563"/>
    <w:rsid w:val="00B6561F"/>
    <w:rsid w:val="00BC7C56"/>
    <w:rsid w:val="00BD20A6"/>
    <w:rsid w:val="00C213F5"/>
    <w:rsid w:val="00C219AA"/>
    <w:rsid w:val="00C23BA9"/>
    <w:rsid w:val="00C24598"/>
    <w:rsid w:val="00C34D41"/>
    <w:rsid w:val="00C35CF3"/>
    <w:rsid w:val="00C55A56"/>
    <w:rsid w:val="00CB0856"/>
    <w:rsid w:val="00CD42DC"/>
    <w:rsid w:val="00CE1349"/>
    <w:rsid w:val="00CE75BD"/>
    <w:rsid w:val="00D14DD5"/>
    <w:rsid w:val="00D54370"/>
    <w:rsid w:val="00D93246"/>
    <w:rsid w:val="00DA4988"/>
    <w:rsid w:val="00DB33A7"/>
    <w:rsid w:val="00DB52A3"/>
    <w:rsid w:val="00DD7B6F"/>
    <w:rsid w:val="00E06030"/>
    <w:rsid w:val="00E3248F"/>
    <w:rsid w:val="00E46CAB"/>
    <w:rsid w:val="00EA7459"/>
    <w:rsid w:val="00EE5289"/>
    <w:rsid w:val="00F10F80"/>
    <w:rsid w:val="00F16AD8"/>
    <w:rsid w:val="00F27B47"/>
    <w:rsid w:val="00F45B89"/>
    <w:rsid w:val="00F64B67"/>
    <w:rsid w:val="00FD5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39F69"/>
  <w15:docId w15:val="{88C9BA22-AB79-4E5F-B641-89C529E284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4DEF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C34D41"/>
  </w:style>
  <w:style w:type="paragraph" w:styleId="Rodap">
    <w:name w:val="footer"/>
    <w:basedOn w:val="Normal"/>
    <w:link w:val="RodapCarter"/>
    <w:uiPriority w:val="99"/>
    <w:unhideWhenUsed/>
    <w:rsid w:val="00C34D4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ter">
    <w:name w:val="Rodapé Caráter"/>
    <w:basedOn w:val="Tipodeletrapredefinidodopargrafo"/>
    <w:link w:val="Rodap"/>
    <w:uiPriority w:val="99"/>
    <w:rsid w:val="00C34D41"/>
  </w:style>
  <w:style w:type="table" w:styleId="TabelacomGrelha">
    <w:name w:val="Table Grid"/>
    <w:basedOn w:val="Tabelanormal"/>
    <w:uiPriority w:val="39"/>
    <w:rsid w:val="004B37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8377B2"/>
    <w:pPr>
      <w:ind w:left="720"/>
      <w:contextualSpacing/>
    </w:pPr>
  </w:style>
  <w:style w:type="paragraph" w:styleId="Textodebalo">
    <w:name w:val="Balloon Text"/>
    <w:basedOn w:val="Normal"/>
    <w:link w:val="TextodebaloCarter"/>
    <w:uiPriority w:val="99"/>
    <w:semiHidden/>
    <w:unhideWhenUsed/>
    <w:rsid w:val="00A241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A241CE"/>
    <w:rPr>
      <w:rFonts w:ascii="Segoe UI" w:hAnsi="Segoe UI" w:cs="Segoe UI"/>
      <w:sz w:val="18"/>
      <w:szCs w:val="18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012E91"/>
    <w:rPr>
      <w:sz w:val="16"/>
      <w:szCs w:val="16"/>
    </w:rPr>
  </w:style>
  <w:style w:type="paragraph" w:styleId="Textodecomentrio">
    <w:name w:val="annotation text"/>
    <w:basedOn w:val="Normal"/>
    <w:link w:val="TextodecomentrioCarter"/>
    <w:uiPriority w:val="99"/>
    <w:semiHidden/>
    <w:unhideWhenUsed/>
    <w:rsid w:val="00012E91"/>
    <w:pPr>
      <w:spacing w:line="240" w:lineRule="auto"/>
    </w:pPr>
    <w:rPr>
      <w:sz w:val="20"/>
      <w:szCs w:val="20"/>
    </w:rPr>
  </w:style>
  <w:style w:type="character" w:customStyle="1" w:styleId="TextodecomentrioCarter">
    <w:name w:val="Texto de comentário Caráter"/>
    <w:basedOn w:val="Tipodeletrapredefinidodopargrafo"/>
    <w:link w:val="Textodecomentrio"/>
    <w:uiPriority w:val="99"/>
    <w:semiHidden/>
    <w:rsid w:val="00012E91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ter"/>
    <w:uiPriority w:val="99"/>
    <w:semiHidden/>
    <w:unhideWhenUsed/>
    <w:rsid w:val="00012E91"/>
    <w:rPr>
      <w:b/>
      <w:bCs/>
    </w:rPr>
  </w:style>
  <w:style w:type="character" w:customStyle="1" w:styleId="AssuntodecomentrioCarter">
    <w:name w:val="Assunto de comentário Caráter"/>
    <w:basedOn w:val="TextodecomentrioCarter"/>
    <w:link w:val="Assuntodecomentrio"/>
    <w:uiPriority w:val="99"/>
    <w:semiHidden/>
    <w:rsid w:val="00012E91"/>
    <w:rPr>
      <w:b/>
      <w:bCs/>
      <w:sz w:val="20"/>
      <w:szCs w:val="20"/>
    </w:rPr>
  </w:style>
  <w:style w:type="character" w:customStyle="1" w:styleId="TextodecomentrioCarcter">
    <w:name w:val="Texto de comentário Carácter"/>
    <w:uiPriority w:val="99"/>
    <w:semiHidden/>
    <w:rsid w:val="000716C3"/>
    <w:rPr>
      <w:sz w:val="20"/>
      <w:szCs w:val="20"/>
    </w:rPr>
  </w:style>
  <w:style w:type="paragraph" w:customStyle="1" w:styleId="CorpoA">
    <w:name w:val="Corpo A"/>
    <w:rsid w:val="006A5C1A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u w:color="000000"/>
      <w:bdr w:val="nil"/>
      <w:lang w:eastAsia="pt-PT"/>
    </w:rPr>
  </w:style>
  <w:style w:type="paragraph" w:styleId="NormalWeb">
    <w:name w:val="Normal (Web)"/>
    <w:basedOn w:val="Normal"/>
    <w:uiPriority w:val="99"/>
    <w:unhideWhenUsed/>
    <w:rsid w:val="006A5C1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PT"/>
    </w:rPr>
  </w:style>
  <w:style w:type="character" w:customStyle="1" w:styleId="normaltextrun">
    <w:name w:val="normaltextrun"/>
    <w:basedOn w:val="Tipodeletrapredefinidodopargrafo"/>
    <w:rsid w:val="004827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30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1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968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22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75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5424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915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030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5263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2649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528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67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343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361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3861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81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295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74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8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48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723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923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54418C-0E04-4AF7-809D-25F204F7D9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806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Tânia Maria Lopes Aguiar</dc:creator>
  <cp:lastModifiedBy>Catarina Alves Sardinha</cp:lastModifiedBy>
  <cp:revision>13</cp:revision>
  <cp:lastPrinted>2023-05-18T15:22:00Z</cp:lastPrinted>
  <dcterms:created xsi:type="dcterms:W3CDTF">2023-04-12T18:24:00Z</dcterms:created>
  <dcterms:modified xsi:type="dcterms:W3CDTF">2023-05-18T15:23:00Z</dcterms:modified>
</cp:coreProperties>
</file>