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1780" w14:textId="77777777" w:rsidR="009123FF" w:rsidRDefault="008708E7">
      <w:pPr>
        <w:widowControl w:val="0"/>
        <w:spacing w:before="1196" w:after="0" w:line="240" w:lineRule="auto"/>
        <w:ind w:left="0" w:right="-209" w:hanging="2"/>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INFORMAÇÃO - PROVA DE EQUIVALÊNCIA À FREQUÊNCIA</w:t>
      </w:r>
      <w:r>
        <w:rPr>
          <w:noProof/>
        </w:rPr>
        <w:drawing>
          <wp:anchor distT="0" distB="0" distL="114300" distR="114300" simplePos="0" relativeHeight="251658240" behindDoc="0" locked="0" layoutInCell="1" hidden="0" allowOverlap="1" wp14:anchorId="221E026D" wp14:editId="744FD521">
            <wp:simplePos x="0" y="0"/>
            <wp:positionH relativeFrom="column">
              <wp:posOffset>1</wp:posOffset>
            </wp:positionH>
            <wp:positionV relativeFrom="paragraph">
              <wp:posOffset>-117474</wp:posOffset>
            </wp:positionV>
            <wp:extent cx="1532890" cy="762635"/>
            <wp:effectExtent l="0" t="0" r="0" b="0"/>
            <wp:wrapNone/>
            <wp:docPr id="10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32890" cy="76263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5B04268" wp14:editId="45F06D84">
            <wp:simplePos x="0" y="0"/>
            <wp:positionH relativeFrom="column">
              <wp:posOffset>5038725</wp:posOffset>
            </wp:positionH>
            <wp:positionV relativeFrom="paragraph">
              <wp:posOffset>-171449</wp:posOffset>
            </wp:positionV>
            <wp:extent cx="1078346" cy="715352"/>
            <wp:effectExtent l="0" t="0" r="0" b="0"/>
            <wp:wrapNone/>
            <wp:docPr id="1038" name="image2.jpg" descr="http://www.ebiah.edu.pt/portaleb23ah/Portals/0/Noticias/14-15/imagem_prosucesso.jpg"/>
            <wp:cNvGraphicFramePr/>
            <a:graphic xmlns:a="http://schemas.openxmlformats.org/drawingml/2006/main">
              <a:graphicData uri="http://schemas.openxmlformats.org/drawingml/2006/picture">
                <pic:pic xmlns:pic="http://schemas.openxmlformats.org/drawingml/2006/picture">
                  <pic:nvPicPr>
                    <pic:cNvPr id="0" name="image2.jpg" descr="http://www.ebiah.edu.pt/portaleb23ah/Portals/0/Noticias/14-15/imagem_prosucesso.jpg"/>
                    <pic:cNvPicPr preferRelativeResize="0"/>
                  </pic:nvPicPr>
                  <pic:blipFill>
                    <a:blip r:embed="rId10"/>
                    <a:srcRect/>
                    <a:stretch>
                      <a:fillRect/>
                    </a:stretch>
                  </pic:blipFill>
                  <pic:spPr>
                    <a:xfrm>
                      <a:off x="0" y="0"/>
                      <a:ext cx="1078346" cy="715352"/>
                    </a:xfrm>
                    <a:prstGeom prst="rect">
                      <a:avLst/>
                    </a:prstGeom>
                    <a:ln/>
                  </pic:spPr>
                </pic:pic>
              </a:graphicData>
            </a:graphic>
          </wp:anchor>
        </w:drawing>
      </w:r>
    </w:p>
    <w:p w14:paraId="29C64B37" w14:textId="1655AF3A" w:rsidR="009123FF" w:rsidRPr="007965F9" w:rsidRDefault="007965F9" w:rsidP="007965F9">
      <w:pPr>
        <w:autoSpaceDE w:val="0"/>
        <w:autoSpaceDN w:val="0"/>
        <w:adjustRightInd w:val="0"/>
        <w:spacing w:line="240" w:lineRule="auto"/>
        <w:ind w:leftChars="0" w:left="0" w:firstLineChars="0" w:firstLine="0"/>
        <w:rPr>
          <w:rFonts w:ascii="Times New Roman" w:hAnsi="Times New Roman" w:cs="Times New Roman"/>
          <w:sz w:val="30"/>
          <w:szCs w:val="30"/>
        </w:rPr>
      </w:pPr>
      <w:r>
        <w:rPr>
          <w:rFonts w:ascii="Twentieth Century" w:eastAsia="Twentieth Century" w:hAnsi="Twentieth Century" w:cs="Twentieth Century"/>
          <w:b/>
          <w:sz w:val="30"/>
          <w:szCs w:val="30"/>
        </w:rPr>
        <w:t>Geografia</w:t>
      </w:r>
      <w:r>
        <w:rPr>
          <w:rFonts w:ascii="Twentieth Century" w:eastAsia="Twentieth Century" w:hAnsi="Twentieth Century" w:cs="Twentieth Century"/>
          <w:b/>
          <w:sz w:val="30"/>
          <w:szCs w:val="30"/>
        </w:rPr>
        <w:tab/>
      </w:r>
      <w:r w:rsidRPr="00F45B89">
        <w:rPr>
          <w:rFonts w:cs="Times New Roman"/>
          <w:noProof/>
          <w:sz w:val="30"/>
          <w:szCs w:val="30"/>
          <w:highlight w:val="yellow"/>
        </w:rPr>
        <mc:AlternateContent>
          <mc:Choice Requires="wps">
            <w:drawing>
              <wp:anchor distT="4294967293" distB="4294967293" distL="114300" distR="114300" simplePos="0" relativeHeight="251663360" behindDoc="0" locked="0" layoutInCell="1" allowOverlap="1" wp14:anchorId="5DA2B8DD" wp14:editId="469AD944">
                <wp:simplePos x="0" y="0"/>
                <wp:positionH relativeFrom="column">
                  <wp:posOffset>3175</wp:posOffset>
                </wp:positionH>
                <wp:positionV relativeFrom="paragraph">
                  <wp:posOffset>253999</wp:posOffset>
                </wp:positionV>
                <wp:extent cx="6278245" cy="0"/>
                <wp:effectExtent l="0" t="0" r="0" b="0"/>
                <wp:wrapNone/>
                <wp:docPr id="1" name="Conexão reta unidireciona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8245" cy="0"/>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3145438" id="_x0000_t32" coordsize="21600,21600" o:spt="32" o:oned="t" path="m,l21600,21600e" filled="f">
                <v:path arrowok="t" fillok="f" o:connecttype="none"/>
                <o:lock v:ext="edit" shapetype="t"/>
              </v:shapetype>
              <v:shape id="Conexão reta unidirecional 1" o:spid="_x0000_s1026" type="#_x0000_t32" style="position:absolute;margin-left:.25pt;margin-top:20pt;width:494.35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" strokeweight="2.25pt"/>
            </w:pict>
          </mc:Fallback>
        </mc:AlternateContent>
      </w:r>
      <w:r w:rsidRPr="00A92E9D">
        <w:rPr>
          <w:rFonts w:ascii="Tw Cen MT" w:eastAsia="Times New Roman" w:hAnsi="Tw Cen MT" w:cs="TrebuchetMS-Bold"/>
          <w:b/>
          <w:bCs/>
          <w:sz w:val="30"/>
          <w:szCs w:val="30"/>
        </w:rPr>
        <w:tab/>
      </w:r>
      <w:r w:rsidRPr="00A92E9D">
        <w:rPr>
          <w:rFonts w:ascii="Tw Cen MT" w:eastAsia="Times New Roman" w:hAnsi="Tw Cen MT" w:cs="TrebuchetMS-Bold"/>
          <w:b/>
          <w:bCs/>
          <w:sz w:val="30"/>
          <w:szCs w:val="30"/>
        </w:rPr>
        <w:tab/>
      </w:r>
      <w:r w:rsidRPr="00A92E9D">
        <w:rPr>
          <w:rFonts w:ascii="Tw Cen MT" w:eastAsia="Times New Roman" w:hAnsi="Tw Cen MT" w:cs="TrebuchetMS-Bold"/>
          <w:b/>
          <w:bCs/>
          <w:sz w:val="30"/>
          <w:szCs w:val="30"/>
        </w:rPr>
        <w:tab/>
      </w:r>
      <w:r w:rsidRPr="00A92E9D">
        <w:rPr>
          <w:rFonts w:ascii="Tw Cen MT" w:eastAsia="Times New Roman" w:hAnsi="Tw Cen MT" w:cs="TrebuchetMS-Bold"/>
          <w:b/>
          <w:bCs/>
          <w:sz w:val="30"/>
          <w:szCs w:val="30"/>
        </w:rPr>
        <w:tab/>
      </w:r>
      <w:r w:rsidRPr="00A92E9D">
        <w:rPr>
          <w:rFonts w:ascii="Tw Cen MT" w:eastAsia="Times New Roman" w:hAnsi="Tw Cen MT" w:cs="TrebuchetMS-Bold"/>
          <w:b/>
          <w:bCs/>
          <w:sz w:val="30"/>
          <w:szCs w:val="30"/>
        </w:rPr>
        <w:tab/>
      </w:r>
      <w:r w:rsidRPr="00A92E9D">
        <w:rPr>
          <w:rFonts w:ascii="Tw Cen MT" w:eastAsia="Times New Roman" w:hAnsi="Tw Cen MT" w:cs="TrebuchetMS-Bold"/>
          <w:b/>
          <w:bCs/>
          <w:sz w:val="30"/>
          <w:szCs w:val="30"/>
        </w:rPr>
        <w:tab/>
      </w:r>
      <w:r w:rsidRPr="00A92E9D">
        <w:rPr>
          <w:rFonts w:ascii="Tw Cen MT" w:eastAsia="Times New Roman" w:hAnsi="Tw Cen MT" w:cs="TrebuchetMS-Bold"/>
          <w:b/>
          <w:bCs/>
          <w:sz w:val="30"/>
          <w:szCs w:val="30"/>
        </w:rPr>
        <w:tab/>
        <w:t xml:space="preserve">                </w:t>
      </w:r>
      <w:r>
        <w:rPr>
          <w:rFonts w:ascii="Twentieth Century" w:eastAsia="Twentieth Century" w:hAnsi="Twentieth Century" w:cs="Twentieth Century"/>
          <w:b/>
          <w:sz w:val="30"/>
          <w:szCs w:val="30"/>
        </w:rPr>
        <w:t xml:space="preserve">            </w:t>
      </w:r>
      <w:r>
        <w:rPr>
          <w:noProof/>
        </w:rPr>
        <mc:AlternateContent>
          <mc:Choice Requires="wps">
            <w:drawing>
              <wp:anchor distT="4294967293" distB="4294967293" distL="114300" distR="114300" simplePos="0" relativeHeight="251660288" behindDoc="0" locked="0" layoutInCell="1" hidden="0" allowOverlap="1" wp14:anchorId="33A643B6" wp14:editId="0C806008">
                <wp:simplePos x="0" y="0"/>
                <wp:positionH relativeFrom="column">
                  <wp:posOffset>12701</wp:posOffset>
                </wp:positionH>
                <wp:positionV relativeFrom="paragraph">
                  <wp:posOffset>246394</wp:posOffset>
                </wp:positionV>
                <wp:extent cx="0" cy="28575"/>
                <wp:effectExtent l="0" t="0" r="0" b="0"/>
                <wp:wrapNone/>
                <wp:docPr id="1036" name="Conexão reta unidirecional 1036"/>
                <wp:cNvGraphicFramePr/>
                <a:graphic xmlns:a="http://schemas.openxmlformats.org/drawingml/2006/main">
                  <a:graphicData uri="http://schemas.microsoft.com/office/word/2010/wordprocessingShape">
                    <wps:wsp>
                      <wps:cNvCnPr/>
                      <wps:spPr>
                        <a:xfrm>
                          <a:off x="2206878" y="3780000"/>
                          <a:ext cx="6278245"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3" distT="4294967293" distL="114300" distR="114300" hidden="0" layoutInCell="1" locked="0" relativeHeight="0" simplePos="0">
                <wp:simplePos x="0" y="0"/>
                <wp:positionH relativeFrom="column">
                  <wp:posOffset>12701</wp:posOffset>
                </wp:positionH>
                <wp:positionV relativeFrom="paragraph">
                  <wp:posOffset>246394</wp:posOffset>
                </wp:positionV>
                <wp:extent cx="0" cy="28575"/>
                <wp:effectExtent b="0" l="0" r="0" t="0"/>
                <wp:wrapNone/>
                <wp:docPr id="1036"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0" cy="28575"/>
                        </a:xfrm>
                        <a:prstGeom prst="rect"/>
                        <a:ln/>
                      </pic:spPr>
                    </pic:pic>
                  </a:graphicData>
                </a:graphic>
              </wp:anchor>
            </w:drawing>
          </mc:Fallback>
        </mc:AlternateContent>
      </w:r>
    </w:p>
    <w:p w14:paraId="37403BEC" w14:textId="77777777" w:rsidR="009123FF" w:rsidRDefault="008708E7">
      <w:pPr>
        <w:pBdr>
          <w:bottom w:val="dashed" w:sz="4" w:space="1" w:color="000000"/>
        </w:pBdr>
        <w:tabs>
          <w:tab w:val="right" w:pos="10642"/>
        </w:tabs>
        <w:spacing w:before="240" w:line="360" w:lineRule="auto"/>
        <w:ind w:left="0" w:right="-176" w:hanging="2"/>
        <w:rPr>
          <w:rFonts w:ascii="Twentieth Century" w:eastAsia="Twentieth Century" w:hAnsi="Twentieth Century" w:cs="Twentieth Century"/>
          <w:b/>
        </w:rPr>
      </w:pPr>
      <w:r>
        <w:rPr>
          <w:rFonts w:ascii="Twentieth Century" w:eastAsia="Twentieth Century" w:hAnsi="Twentieth Century" w:cs="Twentieth Century"/>
          <w:b/>
        </w:rPr>
        <w:t>Prova 18 | 2023</w:t>
      </w:r>
    </w:p>
    <w:p w14:paraId="36479664" w14:textId="77777777" w:rsidR="009123FF" w:rsidRDefault="008708E7">
      <w:pPr>
        <w:ind w:left="0" w:hanging="2"/>
        <w:rPr>
          <w:rFonts w:ascii="Twentieth Century" w:eastAsia="Twentieth Century" w:hAnsi="Twentieth Century" w:cs="Twentieth Century"/>
          <w:b/>
          <w:sz w:val="20"/>
          <w:szCs w:val="20"/>
        </w:rPr>
      </w:pPr>
      <w:r>
        <w:rPr>
          <w:noProof/>
          <w:highlight w:val="yellow"/>
        </w:rPr>
        <mc:AlternateContent>
          <mc:Choice Requires="wpg">
            <w:drawing>
              <wp:anchor distT="0" distB="0" distL="0" distR="0" simplePos="0" relativeHeight="251661312" behindDoc="1" locked="0" layoutInCell="1" hidden="0" allowOverlap="1" wp14:anchorId="33F0CE40" wp14:editId="382541B2">
                <wp:simplePos x="0" y="0"/>
                <wp:positionH relativeFrom="margin">
                  <wp:posOffset>6350</wp:posOffset>
                </wp:positionH>
                <wp:positionV relativeFrom="page">
                  <wp:posOffset>2444750</wp:posOffset>
                </wp:positionV>
                <wp:extent cx="6316980" cy="57150"/>
                <wp:effectExtent l="0" t="0" r="0" b="0"/>
                <wp:wrapNone/>
                <wp:docPr id="1035" name="Conexão reta unidirecional 1035"/>
                <wp:cNvGraphicFramePr/>
                <a:graphic xmlns:a="http://schemas.openxmlformats.org/drawingml/2006/main">
                  <a:graphicData uri="http://schemas.microsoft.com/office/word/2010/wordprocessingShape">
                    <wps:wsp>
                      <wps:cNvCnPr/>
                      <wps:spPr>
                        <a:xfrm rot="10800000" flipH="1">
                          <a:off x="2200210" y="3764125"/>
                          <a:ext cx="6291580" cy="31750"/>
                        </a:xfrm>
                        <a:prstGeom prst="straightConnector1">
                          <a:avLst/>
                        </a:prstGeom>
                        <a:noFill/>
                        <a:ln w="25400" cap="flat" cmpd="sng">
                          <a:solidFill>
                            <a:srgbClr val="2AEBFF"/>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margin">
                  <wp:posOffset>6350</wp:posOffset>
                </wp:positionH>
                <wp:positionV relativeFrom="page">
                  <wp:posOffset>2444750</wp:posOffset>
                </wp:positionV>
                <wp:extent cx="6316980" cy="57150"/>
                <wp:effectExtent b="0" l="0" r="0" t="0"/>
                <wp:wrapNone/>
                <wp:docPr id="1035"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6316980" cy="57150"/>
                        </a:xfrm>
                        <a:prstGeom prst="rect"/>
                        <a:ln/>
                      </pic:spPr>
                    </pic:pic>
                  </a:graphicData>
                </a:graphic>
              </wp:anchor>
            </w:drawing>
          </mc:Fallback>
        </mc:AlternateContent>
      </w:r>
      <w:r>
        <w:rPr>
          <w:rFonts w:ascii="Twentieth Century" w:eastAsia="Twentieth Century" w:hAnsi="Twentieth Century" w:cs="Twentieth Century"/>
          <w:sz w:val="24"/>
          <w:szCs w:val="24"/>
        </w:rPr>
        <w:t>3.º Ciclo do Ensino Básico</w:t>
      </w:r>
    </w:p>
    <w:p w14:paraId="73614301" w14:textId="77777777" w:rsidR="009123FF" w:rsidRDefault="009123FF">
      <w:pPr>
        <w:spacing w:after="0" w:line="360" w:lineRule="auto"/>
        <w:ind w:left="0" w:right="137" w:hanging="2"/>
        <w:jc w:val="both"/>
        <w:rPr>
          <w:rFonts w:ascii="Twentieth Century" w:eastAsia="Twentieth Century" w:hAnsi="Twentieth Century" w:cs="Twentieth Century"/>
          <w:sz w:val="16"/>
          <w:szCs w:val="16"/>
        </w:rPr>
      </w:pPr>
    </w:p>
    <w:p w14:paraId="755484E8" w14:textId="77777777" w:rsidR="009123FF" w:rsidRDefault="008708E7">
      <w:pPr>
        <w:spacing w:before="240" w:after="0" w:line="360" w:lineRule="auto"/>
        <w:ind w:left="0" w:right="137" w:hanging="2"/>
        <w:jc w:val="both"/>
        <w:rPr>
          <w:rFonts w:ascii="Twentieth Century" w:eastAsia="Twentieth Century" w:hAnsi="Twentieth Century" w:cs="Twentieth Century"/>
        </w:rPr>
      </w:pPr>
      <w:bookmarkStart w:id="0" w:name="_heading=h.gjdgxs" w:colFirst="0" w:colLast="0"/>
      <w:bookmarkEnd w:id="0"/>
      <w:r>
        <w:rPr>
          <w:rFonts w:ascii="Twentieth Century" w:eastAsia="Twentieth Century" w:hAnsi="Twentieth Century" w:cs="Twentieth Century"/>
        </w:rPr>
        <w:t>O presente documento divulga as características da prova de equivalência à frequência da disciplina de Geografia, a realizar em 2023 pelos alunos que se encontram abrangidos pelos planos de estudo instituídos pelo Decreto Legislativo Regional n.º 16/2019/A, de 23 de julho.</w:t>
      </w:r>
    </w:p>
    <w:p w14:paraId="467BA8C0" w14:textId="79F360D4" w:rsidR="009123FF" w:rsidRDefault="008708E7">
      <w:pPr>
        <w:spacing w:after="0" w:line="360" w:lineRule="auto"/>
        <w:ind w:left="0" w:right="137" w:hanging="2"/>
        <w:jc w:val="both"/>
        <w:rPr>
          <w:rFonts w:ascii="Twentieth Century" w:eastAsia="Twentieth Century" w:hAnsi="Twentieth Century" w:cs="Twentieth Century"/>
        </w:rPr>
      </w:pPr>
      <w:r>
        <w:rPr>
          <w:rFonts w:ascii="Twentieth Century" w:eastAsia="Twentieth Century" w:hAnsi="Twentieth Century" w:cs="Twentieth Century"/>
        </w:rPr>
        <w:t xml:space="preserve">Os alunos que se encontram abrangidos pelo documento </w:t>
      </w:r>
      <w:r>
        <w:rPr>
          <w:rFonts w:ascii="Twentieth Century" w:eastAsia="Twentieth Century" w:hAnsi="Twentieth Century" w:cs="Twentieth Century"/>
          <w:highlight w:val="white"/>
        </w:rPr>
        <w:t>Guia para Aplicação de Adaptações na Realização de Provas e Exames</w:t>
      </w:r>
      <w:r>
        <w:rPr>
          <w:rFonts w:ascii="Twentieth Century" w:eastAsia="Twentieth Century" w:hAnsi="Twentieth Century" w:cs="Twentieth Century"/>
        </w:rPr>
        <w:t xml:space="preserve"> – JNE 202</w:t>
      </w:r>
      <w:r w:rsidR="007A1C59">
        <w:rPr>
          <w:rFonts w:ascii="Twentieth Century" w:eastAsia="Twentieth Century" w:hAnsi="Twentieth Century" w:cs="Twentieth Century"/>
        </w:rPr>
        <w:t>3</w:t>
      </w:r>
      <w:r>
        <w:rPr>
          <w:rFonts w:ascii="Twentieth Century" w:eastAsia="Twentieth Century" w:hAnsi="Twentieth Century" w:cs="Twentieth Century"/>
        </w:rPr>
        <w:t>, emanado pelo Júri Nacional de Exames realizam esta prova, com medidas contempladas nos seus Relatórios Técnico-Pedagógicos, de acordo com</w:t>
      </w:r>
      <w:r>
        <w:rPr>
          <w:rFonts w:ascii="Twentieth Century" w:eastAsia="Twentieth Century" w:hAnsi="Twentieth Century" w:cs="Twentieth Century"/>
          <w:color w:val="FF0000"/>
        </w:rPr>
        <w:t xml:space="preserve"> </w:t>
      </w:r>
      <w:r>
        <w:rPr>
          <w:rFonts w:ascii="Twentieth Century" w:eastAsia="Twentieth Century" w:hAnsi="Twentieth Century" w:cs="Twentieth Century"/>
        </w:rPr>
        <w:t>a Declaração de Retificação n.º 47/2019, de 3 de outubro, que altera a Lei n.º 116/2019, de 13 de setembro, primeira alteração ao Decreto-Lei n.º 54/2018, de 6 de julho, que estabelece o regime jurídico da educação inclusiva.</w:t>
      </w:r>
    </w:p>
    <w:p w14:paraId="110599F5" w14:textId="77777777" w:rsidR="009123FF" w:rsidRDefault="009123FF">
      <w:pPr>
        <w:spacing w:after="0" w:line="360" w:lineRule="auto"/>
        <w:ind w:left="0" w:right="137" w:hanging="2"/>
        <w:jc w:val="both"/>
        <w:rPr>
          <w:rFonts w:ascii="Twentieth Century" w:eastAsia="Twentieth Century" w:hAnsi="Twentieth Century" w:cs="Twentieth Century"/>
        </w:rPr>
      </w:pPr>
    </w:p>
    <w:p w14:paraId="1EEFF511" w14:textId="77777777" w:rsidR="009123FF" w:rsidRDefault="008708E7">
      <w:pPr>
        <w:spacing w:after="0" w:line="360" w:lineRule="auto"/>
        <w:ind w:left="0" w:right="137" w:hanging="2"/>
        <w:jc w:val="both"/>
        <w:rPr>
          <w:rFonts w:ascii="Twentieth Century" w:eastAsia="Twentieth Century" w:hAnsi="Twentieth Century" w:cs="Twentieth Century"/>
        </w:rPr>
      </w:pPr>
      <w:r>
        <w:rPr>
          <w:rFonts w:ascii="Twentieth Century" w:eastAsia="Twentieth Century" w:hAnsi="Twentieth Century" w:cs="Twentieth Century"/>
        </w:rPr>
        <w:t>Deve ainda ser tida em consideração</w:t>
      </w:r>
      <w:r>
        <w:rPr>
          <w:rFonts w:ascii="Twentieth Century" w:eastAsia="Twentieth Century" w:hAnsi="Twentieth Century" w:cs="Twentieth Century"/>
          <w:color w:val="FF0000"/>
        </w:rPr>
        <w:t xml:space="preserve"> </w:t>
      </w:r>
      <w:r>
        <w:rPr>
          <w:rFonts w:ascii="Twentieth Century" w:eastAsia="Twentieth Century" w:hAnsi="Twentieth Century" w:cs="Twentieth Century"/>
        </w:rPr>
        <w:t>a Portaria n.º 59/2019, de 28 de agosto, e o Despacho Normativo n.º 4 -B/2023, 3 de abril.</w:t>
      </w:r>
    </w:p>
    <w:p w14:paraId="76995554" w14:textId="77777777" w:rsidR="009123FF" w:rsidRDefault="009123FF">
      <w:pPr>
        <w:spacing w:after="0" w:line="360" w:lineRule="auto"/>
        <w:ind w:left="0" w:right="137" w:hanging="2"/>
        <w:jc w:val="both"/>
        <w:rPr>
          <w:rFonts w:ascii="Twentieth Century" w:eastAsia="Twentieth Century" w:hAnsi="Twentieth Century" w:cs="Twentieth Century"/>
        </w:rPr>
      </w:pPr>
    </w:p>
    <w:p w14:paraId="736B74A5" w14:textId="77777777" w:rsidR="009123FF" w:rsidRDefault="008708E7">
      <w:pPr>
        <w:spacing w:after="0" w:line="360" w:lineRule="auto"/>
        <w:ind w:left="0" w:right="8" w:hanging="2"/>
        <w:jc w:val="both"/>
        <w:rPr>
          <w:rFonts w:ascii="Twentieth Century" w:eastAsia="Twentieth Century" w:hAnsi="Twentieth Century" w:cs="Twentieth Century"/>
        </w:rPr>
      </w:pPr>
      <w:r>
        <w:rPr>
          <w:rFonts w:ascii="Twentieth Century" w:eastAsia="Twentieth Century" w:hAnsi="Twentieth Century" w:cs="Twentieth Century"/>
        </w:rPr>
        <w:t>As informações apresentadas neste documento não dispensam a consulta da legislação referida, bem como do referencial-base das Aprendizagens Essenciais, com especial enfoque nas áreas de competência inscritas no Perfil dos Alunos à Saída da Escolaridade Obrigatória.</w:t>
      </w:r>
    </w:p>
    <w:p w14:paraId="7C66C4F7" w14:textId="77777777" w:rsidR="009123FF" w:rsidRDefault="009123FF">
      <w:pPr>
        <w:spacing w:after="0" w:line="360" w:lineRule="auto"/>
        <w:ind w:left="0" w:right="8" w:hanging="2"/>
        <w:jc w:val="both"/>
        <w:rPr>
          <w:rFonts w:ascii="Twentieth Century" w:eastAsia="Twentieth Century" w:hAnsi="Twentieth Century" w:cs="Twentieth Century"/>
          <w:highlight w:val="yellow"/>
        </w:rPr>
      </w:pPr>
    </w:p>
    <w:p w14:paraId="0D9F2EA5" w14:textId="77777777" w:rsidR="009123FF" w:rsidRDefault="008708E7">
      <w:pPr>
        <w:spacing w:after="0" w:line="360" w:lineRule="auto"/>
        <w:ind w:left="0" w:hanging="2"/>
        <w:jc w:val="both"/>
        <w:rPr>
          <w:rFonts w:ascii="Twentieth Century" w:eastAsia="Twentieth Century" w:hAnsi="Twentieth Century" w:cs="Twentieth Century"/>
        </w:rPr>
      </w:pPr>
      <w:r>
        <w:rPr>
          <w:rFonts w:ascii="Twentieth Century" w:eastAsia="Twentieth Century" w:hAnsi="Twentieth Century" w:cs="Twentieth Century"/>
        </w:rPr>
        <w:t>O presente documento dá a conhecer os seguintes aspetos relativos à prova:</w:t>
      </w:r>
    </w:p>
    <w:p w14:paraId="2ECD2D9C" w14:textId="77777777" w:rsidR="009123FF" w:rsidRDefault="008708E7">
      <w:pPr>
        <w:numPr>
          <w:ilvl w:val="0"/>
          <w:numId w:val="6"/>
        </w:numPr>
        <w:spacing w:after="0" w:line="360" w:lineRule="auto"/>
        <w:ind w:left="0" w:hanging="2"/>
        <w:jc w:val="both"/>
        <w:rPr>
          <w:rFonts w:ascii="Twentieth Century" w:eastAsia="Twentieth Century" w:hAnsi="Twentieth Century" w:cs="Twentieth Century"/>
        </w:rPr>
      </w:pPr>
      <w:r>
        <w:rPr>
          <w:rFonts w:ascii="Twentieth Century" w:eastAsia="Twentieth Century" w:hAnsi="Twentieth Century" w:cs="Twentieth Century"/>
        </w:rPr>
        <w:t>Objeto de avaliação</w:t>
      </w:r>
    </w:p>
    <w:p w14:paraId="105B7FF5" w14:textId="77777777" w:rsidR="009123FF" w:rsidRDefault="008708E7">
      <w:pPr>
        <w:widowControl w:val="0"/>
        <w:numPr>
          <w:ilvl w:val="0"/>
          <w:numId w:val="6"/>
        </w:numPr>
        <w:spacing w:before="34" w:after="0" w:line="360" w:lineRule="auto"/>
        <w:ind w:left="0" w:hanging="2"/>
        <w:jc w:val="both"/>
        <w:rPr>
          <w:rFonts w:ascii="Twentieth Century" w:eastAsia="Twentieth Century" w:hAnsi="Twentieth Century" w:cs="Twentieth Century"/>
        </w:rPr>
      </w:pPr>
      <w:r>
        <w:rPr>
          <w:rFonts w:ascii="Twentieth Century" w:eastAsia="Twentieth Century" w:hAnsi="Twentieth Century" w:cs="Twentieth Century"/>
        </w:rPr>
        <w:t>Características e estrutura</w:t>
      </w:r>
    </w:p>
    <w:p w14:paraId="21489C05" w14:textId="77777777" w:rsidR="009123FF" w:rsidRDefault="008708E7">
      <w:pPr>
        <w:widowControl w:val="0"/>
        <w:numPr>
          <w:ilvl w:val="0"/>
          <w:numId w:val="6"/>
        </w:numPr>
        <w:spacing w:before="34" w:after="0" w:line="360" w:lineRule="auto"/>
        <w:ind w:left="0" w:hanging="2"/>
        <w:jc w:val="both"/>
        <w:rPr>
          <w:rFonts w:ascii="Twentieth Century" w:eastAsia="Twentieth Century" w:hAnsi="Twentieth Century" w:cs="Twentieth Century"/>
        </w:rPr>
      </w:pPr>
      <w:r>
        <w:rPr>
          <w:rFonts w:ascii="Twentieth Century" w:eastAsia="Twentieth Century" w:hAnsi="Twentieth Century" w:cs="Twentieth Century"/>
        </w:rPr>
        <w:t>Critérios gerais de classificação</w:t>
      </w:r>
    </w:p>
    <w:p w14:paraId="79962043" w14:textId="77777777" w:rsidR="009123FF" w:rsidRDefault="008708E7">
      <w:pPr>
        <w:widowControl w:val="0"/>
        <w:numPr>
          <w:ilvl w:val="0"/>
          <w:numId w:val="6"/>
        </w:numPr>
        <w:spacing w:before="34" w:after="0" w:line="360" w:lineRule="auto"/>
        <w:ind w:left="0" w:hanging="2"/>
        <w:jc w:val="both"/>
        <w:rPr>
          <w:rFonts w:ascii="Twentieth Century" w:eastAsia="Twentieth Century" w:hAnsi="Twentieth Century" w:cs="Twentieth Century"/>
        </w:rPr>
      </w:pPr>
      <w:r>
        <w:rPr>
          <w:rFonts w:ascii="Twentieth Century" w:eastAsia="Twentieth Century" w:hAnsi="Twentieth Century" w:cs="Twentieth Century"/>
        </w:rPr>
        <w:t xml:space="preserve">Material </w:t>
      </w:r>
    </w:p>
    <w:p w14:paraId="0F60B03D" w14:textId="77777777" w:rsidR="009123FF" w:rsidRDefault="008708E7">
      <w:pPr>
        <w:widowControl w:val="0"/>
        <w:numPr>
          <w:ilvl w:val="0"/>
          <w:numId w:val="6"/>
        </w:numPr>
        <w:spacing w:before="34" w:after="0" w:line="360" w:lineRule="auto"/>
        <w:ind w:left="0" w:hanging="2"/>
        <w:jc w:val="both"/>
        <w:rPr>
          <w:rFonts w:ascii="Twentieth Century" w:eastAsia="Twentieth Century" w:hAnsi="Twentieth Century" w:cs="Twentieth Century"/>
        </w:rPr>
      </w:pPr>
      <w:r>
        <w:rPr>
          <w:rFonts w:ascii="Twentieth Century" w:eastAsia="Twentieth Century" w:hAnsi="Twentieth Century" w:cs="Twentieth Century"/>
        </w:rPr>
        <w:t xml:space="preserve">Duração </w:t>
      </w:r>
    </w:p>
    <w:p w14:paraId="0B55DE6B" w14:textId="77777777" w:rsidR="009123FF" w:rsidRDefault="009123FF">
      <w:pPr>
        <w:widowControl w:val="0"/>
        <w:tabs>
          <w:tab w:val="left" w:pos="374"/>
        </w:tabs>
        <w:spacing w:before="34" w:after="0" w:line="360" w:lineRule="auto"/>
        <w:ind w:left="0" w:hanging="2"/>
        <w:jc w:val="both"/>
        <w:rPr>
          <w:rFonts w:ascii="Twentieth Century" w:eastAsia="Twentieth Century" w:hAnsi="Twentieth Century" w:cs="Twentieth Century"/>
          <w:highlight w:val="yellow"/>
        </w:rPr>
      </w:pPr>
    </w:p>
    <w:p w14:paraId="78426292" w14:textId="77777777" w:rsidR="009123FF" w:rsidRDefault="008708E7">
      <w:pPr>
        <w:spacing w:after="0" w:line="360" w:lineRule="auto"/>
        <w:ind w:left="0" w:right="137" w:hanging="2"/>
        <w:jc w:val="both"/>
        <w:rPr>
          <w:rFonts w:ascii="Twentieth Century" w:eastAsia="Twentieth Century" w:hAnsi="Twentieth Century" w:cs="Twentieth Century"/>
        </w:rPr>
      </w:pPr>
      <w:r>
        <w:rPr>
          <w:rFonts w:ascii="Twentieth Century" w:eastAsia="Twentieth Century" w:hAnsi="Twentieth Century" w:cs="Twentieth Century"/>
        </w:rPr>
        <w:t>Este documento deve ser dado a conhecer aos encarregados de educação e aos alunos. O mesmo deve ser analisado com os alunos, para que fiquem devidamente informados sobre a prova que irão realizar.</w:t>
      </w:r>
    </w:p>
    <w:p w14:paraId="25CC619E" w14:textId="77777777" w:rsidR="009123FF" w:rsidRDefault="009123FF">
      <w:pPr>
        <w:widowControl w:val="0"/>
        <w:spacing w:after="0" w:line="360" w:lineRule="auto"/>
        <w:ind w:left="0" w:right="137" w:hanging="2"/>
        <w:rPr>
          <w:rFonts w:ascii="Twentieth Century" w:eastAsia="Twentieth Century" w:hAnsi="Twentieth Century" w:cs="Twentieth Century"/>
          <w:color w:val="000000"/>
          <w:sz w:val="16"/>
          <w:szCs w:val="16"/>
        </w:rPr>
      </w:pPr>
    </w:p>
    <w:p w14:paraId="56530AC5" w14:textId="77777777" w:rsidR="009123FF" w:rsidRDefault="008708E7">
      <w:pPr>
        <w:widowControl w:val="0"/>
        <w:spacing w:after="0" w:line="360" w:lineRule="auto"/>
        <w:ind w:left="1" w:right="137" w:hanging="3"/>
        <w:rPr>
          <w:rFonts w:ascii="Twentieth Century" w:eastAsia="Twentieth Century" w:hAnsi="Twentieth Century" w:cs="Twentieth Century"/>
          <w:color w:val="000000"/>
          <w:sz w:val="26"/>
          <w:szCs w:val="26"/>
          <w:u w:val="single"/>
        </w:rPr>
      </w:pPr>
      <w:r>
        <w:rPr>
          <w:rFonts w:ascii="Twentieth Century" w:eastAsia="Twentieth Century" w:hAnsi="Twentieth Century" w:cs="Twentieth Century"/>
          <w:b/>
          <w:color w:val="000000"/>
          <w:sz w:val="26"/>
          <w:szCs w:val="26"/>
          <w:u w:val="single"/>
        </w:rPr>
        <w:lastRenderedPageBreak/>
        <w:t>Objeto de avaliação</w:t>
      </w:r>
    </w:p>
    <w:p w14:paraId="4AD0FF62" w14:textId="60B63ED5" w:rsidR="009123FF" w:rsidRDefault="008708E7">
      <w:pPr>
        <w:spacing w:after="0" w:line="360" w:lineRule="auto"/>
        <w:ind w:left="0" w:right="137" w:hanging="2"/>
        <w:jc w:val="both"/>
        <w:rPr>
          <w:rFonts w:ascii="Twentieth Century" w:eastAsia="Twentieth Century" w:hAnsi="Twentieth Century" w:cs="Twentieth Century"/>
          <w:sz w:val="24"/>
          <w:szCs w:val="24"/>
        </w:rPr>
      </w:pPr>
      <w:r>
        <w:rPr>
          <w:rFonts w:ascii="Twentieth Century" w:eastAsia="Twentieth Century" w:hAnsi="Twentieth Century" w:cs="Twentieth Century"/>
        </w:rPr>
        <w:t xml:space="preserve">A prova tem por referência o Programa, </w:t>
      </w:r>
      <w:r w:rsidR="00715FC5">
        <w:rPr>
          <w:rFonts w:ascii="Twentieth Century" w:eastAsia="Twentieth Century" w:hAnsi="Twentieth Century" w:cs="Twentieth Century"/>
        </w:rPr>
        <w:t>as Aprendizagens Essenciais</w:t>
      </w:r>
      <w:r>
        <w:rPr>
          <w:rFonts w:ascii="Twentieth Century" w:eastAsia="Twentieth Century" w:hAnsi="Twentieth Century" w:cs="Twentieth Century"/>
        </w:rPr>
        <w:t xml:space="preserve"> e permite avaliar a aprendizagem passível de avaliação numa prova escrita de duração limitada, nos domínios: A Terra: Estudos e Representações; Meio Natural; A População e o Povoamento; Atividades Económicas; Contrastes de Desenvolvimento; e Riscos, Ambiente e Sociedade. </w:t>
      </w:r>
    </w:p>
    <w:p w14:paraId="4EE227F2" w14:textId="77777777" w:rsidR="009123FF" w:rsidRDefault="009123FF">
      <w:pPr>
        <w:spacing w:after="0" w:line="360" w:lineRule="auto"/>
        <w:ind w:left="0" w:hanging="2"/>
        <w:rPr>
          <w:rFonts w:ascii="Twentieth Century" w:eastAsia="Twentieth Century" w:hAnsi="Twentieth Century" w:cs="Twentieth Century"/>
        </w:rPr>
      </w:pPr>
    </w:p>
    <w:p w14:paraId="5523447B" w14:textId="77777777" w:rsidR="009123FF" w:rsidRDefault="008708E7">
      <w:pPr>
        <w:spacing w:after="120" w:line="360" w:lineRule="auto"/>
        <w:ind w:left="1" w:right="137" w:hanging="3"/>
        <w:rPr>
          <w:rFonts w:ascii="Twentieth Century" w:eastAsia="Twentieth Century" w:hAnsi="Twentieth Century" w:cs="Twentieth Century"/>
          <w:sz w:val="26"/>
          <w:szCs w:val="26"/>
          <w:u w:val="single"/>
        </w:rPr>
      </w:pPr>
      <w:r>
        <w:rPr>
          <w:rFonts w:ascii="Twentieth Century" w:eastAsia="Twentieth Century" w:hAnsi="Twentieth Century" w:cs="Twentieth Century"/>
          <w:b/>
          <w:sz w:val="26"/>
          <w:szCs w:val="26"/>
          <w:u w:val="single"/>
        </w:rPr>
        <w:t>Características e Estrutura</w:t>
      </w:r>
    </w:p>
    <w:p w14:paraId="45070D28" w14:textId="77777777" w:rsidR="009123FF" w:rsidRDefault="008708E7">
      <w:pPr>
        <w:widowControl w:val="0"/>
        <w:spacing w:after="0" w:line="360" w:lineRule="auto"/>
        <w:ind w:left="0" w:right="137" w:hanging="2"/>
        <w:rPr>
          <w:rFonts w:ascii="Twentieth Century" w:eastAsia="Twentieth Century" w:hAnsi="Twentieth Century" w:cs="Twentieth Century"/>
          <w:color w:val="000000"/>
        </w:rPr>
      </w:pPr>
      <w:r>
        <w:rPr>
          <w:rFonts w:ascii="Twentieth Century" w:eastAsia="Twentieth Century" w:hAnsi="Twentieth Century" w:cs="Twentieth Century"/>
          <w:color w:val="000000"/>
        </w:rPr>
        <w:t>A prova é realizada no enunciado.</w:t>
      </w:r>
    </w:p>
    <w:p w14:paraId="3A9095A4" w14:textId="77777777" w:rsidR="009123FF" w:rsidRDefault="008708E7">
      <w:pPr>
        <w:widowControl w:val="0"/>
        <w:spacing w:after="0" w:line="360" w:lineRule="auto"/>
        <w:ind w:left="0" w:right="137" w:hanging="2"/>
        <w:rPr>
          <w:rFonts w:ascii="Twentieth Century" w:eastAsia="Twentieth Century" w:hAnsi="Twentieth Century" w:cs="Twentieth Century"/>
          <w:color w:val="000000"/>
        </w:rPr>
      </w:pPr>
      <w:r>
        <w:rPr>
          <w:rFonts w:ascii="Twentieth Century" w:eastAsia="Twentieth Century" w:hAnsi="Twentieth Century" w:cs="Twentieth Century"/>
          <w:color w:val="000000"/>
        </w:rPr>
        <w:t>A prova é cotada para 100 pontos e é constituída por 6 grupos.</w:t>
      </w:r>
    </w:p>
    <w:p w14:paraId="57C993D0" w14:textId="77777777" w:rsidR="009123FF" w:rsidRDefault="008708E7">
      <w:pPr>
        <w:widowControl w:val="0"/>
        <w:tabs>
          <w:tab w:val="left" w:pos="9639"/>
        </w:tabs>
        <w:spacing w:after="0" w:line="360" w:lineRule="auto"/>
        <w:ind w:left="0" w:right="137" w:hanging="2"/>
        <w:rPr>
          <w:rFonts w:ascii="Twentieth Century" w:eastAsia="Twentieth Century" w:hAnsi="Twentieth Century" w:cs="Twentieth Century"/>
          <w:color w:val="000000"/>
        </w:rPr>
      </w:pPr>
      <w:r>
        <w:rPr>
          <w:rFonts w:ascii="Twentieth Century" w:eastAsia="Twentieth Century" w:hAnsi="Twentieth Century" w:cs="Twentieth Century"/>
          <w:color w:val="000000"/>
        </w:rPr>
        <w:t>A distribuição da cotação pelos domínios apresenta-se no Quadro 1.</w:t>
      </w:r>
    </w:p>
    <w:p w14:paraId="6B38673B" w14:textId="77777777" w:rsidR="009123FF" w:rsidRDefault="009123FF">
      <w:pPr>
        <w:widowControl w:val="0"/>
        <w:spacing w:after="0" w:line="360" w:lineRule="auto"/>
        <w:ind w:left="0" w:right="8" w:hanging="2"/>
        <w:rPr>
          <w:rFonts w:ascii="Twentieth Century" w:eastAsia="Twentieth Century" w:hAnsi="Twentieth Century" w:cs="Twentieth Century"/>
          <w:color w:val="000000"/>
        </w:rPr>
      </w:pPr>
    </w:p>
    <w:p w14:paraId="6DDD2603" w14:textId="77777777" w:rsidR="009123FF" w:rsidRDefault="008708E7">
      <w:pPr>
        <w:widowControl w:val="0"/>
        <w:spacing w:after="0" w:line="360" w:lineRule="auto"/>
        <w:ind w:left="0" w:right="8" w:hanging="2"/>
        <w:jc w:val="center"/>
        <w:rPr>
          <w:rFonts w:ascii="Twentieth Century" w:eastAsia="Twentieth Century" w:hAnsi="Twentieth Century" w:cs="Twentieth Century"/>
          <w:color w:val="000000"/>
        </w:rPr>
      </w:pPr>
      <w:r>
        <w:rPr>
          <w:rFonts w:ascii="Twentieth Century" w:eastAsia="Twentieth Century" w:hAnsi="Twentieth Century" w:cs="Twentieth Century"/>
          <w:b/>
          <w:color w:val="000000"/>
        </w:rPr>
        <w:t>Quadro 1 – Domínios, conteúdos e cotação da prova</w:t>
      </w:r>
    </w:p>
    <w:tbl>
      <w:tblPr>
        <w:tblStyle w:val="a1"/>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5"/>
        <w:gridCol w:w="4536"/>
        <w:gridCol w:w="1276"/>
      </w:tblGrid>
      <w:tr w:rsidR="009123FF" w14:paraId="5338A5E9" w14:textId="77777777">
        <w:trPr>
          <w:trHeight w:val="591"/>
        </w:trPr>
        <w:tc>
          <w:tcPr>
            <w:tcW w:w="36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8082A5D" w14:textId="77777777" w:rsidR="009123FF" w:rsidRDefault="008708E7">
            <w:pPr>
              <w:spacing w:after="0"/>
              <w:ind w:left="0" w:hanging="2"/>
              <w:jc w:val="center"/>
              <w:rPr>
                <w:rFonts w:ascii="Twentieth Century" w:eastAsia="Twentieth Century" w:hAnsi="Twentieth Century" w:cs="Twentieth Century"/>
              </w:rPr>
            </w:pPr>
            <w:r>
              <w:rPr>
                <w:rFonts w:ascii="Twentieth Century" w:eastAsia="Twentieth Century" w:hAnsi="Twentieth Century" w:cs="Twentieth Century"/>
                <w:b/>
              </w:rPr>
              <w:t>Domínios</w:t>
            </w:r>
          </w:p>
        </w:tc>
        <w:tc>
          <w:tcPr>
            <w:tcW w:w="453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C4E1391" w14:textId="77777777" w:rsidR="009123FF" w:rsidRDefault="008708E7">
            <w:pPr>
              <w:spacing w:after="0"/>
              <w:ind w:left="0" w:hanging="2"/>
              <w:jc w:val="center"/>
              <w:rPr>
                <w:rFonts w:ascii="Twentieth Century" w:eastAsia="Twentieth Century" w:hAnsi="Twentieth Century" w:cs="Twentieth Century"/>
              </w:rPr>
            </w:pPr>
            <w:r>
              <w:rPr>
                <w:rFonts w:ascii="Twentieth Century" w:eastAsia="Twentieth Century" w:hAnsi="Twentieth Century" w:cs="Twentieth Century"/>
                <w:b/>
              </w:rPr>
              <w:t>Conteúdos</w:t>
            </w: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A517D16" w14:textId="77777777" w:rsidR="009123FF" w:rsidRDefault="008708E7">
            <w:pPr>
              <w:spacing w:after="0"/>
              <w:ind w:left="0" w:hanging="2"/>
              <w:jc w:val="center"/>
              <w:rPr>
                <w:rFonts w:ascii="Twentieth Century" w:eastAsia="Twentieth Century" w:hAnsi="Twentieth Century" w:cs="Twentieth Century"/>
                <w:highlight w:val="yellow"/>
              </w:rPr>
            </w:pPr>
            <w:r>
              <w:rPr>
                <w:rFonts w:ascii="Twentieth Century" w:eastAsia="Twentieth Century" w:hAnsi="Twentieth Century" w:cs="Twentieth Century"/>
                <w:b/>
              </w:rPr>
              <w:t>Cotação (em pontos)</w:t>
            </w:r>
          </w:p>
        </w:tc>
      </w:tr>
      <w:tr w:rsidR="009123FF" w14:paraId="46063A9E" w14:textId="77777777">
        <w:trPr>
          <w:trHeight w:val="1430"/>
        </w:trPr>
        <w:tc>
          <w:tcPr>
            <w:tcW w:w="3685" w:type="dxa"/>
            <w:tcBorders>
              <w:top w:val="single" w:sz="4" w:space="0" w:color="000000"/>
              <w:left w:val="single" w:sz="4" w:space="0" w:color="000000"/>
              <w:bottom w:val="single" w:sz="4" w:space="0" w:color="000000"/>
              <w:right w:val="single" w:sz="4" w:space="0" w:color="000000"/>
            </w:tcBorders>
          </w:tcPr>
          <w:p w14:paraId="3F41AB38" w14:textId="77777777" w:rsidR="009123FF" w:rsidRDefault="008708E7">
            <w:pPr>
              <w:spacing w:after="0" w:line="360" w:lineRule="auto"/>
              <w:ind w:left="0" w:hanging="2"/>
              <w:rPr>
                <w:rFonts w:ascii="Twentieth Century" w:eastAsia="Twentieth Century" w:hAnsi="Twentieth Century" w:cs="Twentieth Century"/>
              </w:rPr>
            </w:pPr>
            <w:r>
              <w:rPr>
                <w:rFonts w:ascii="Twentieth Century" w:eastAsia="Twentieth Century" w:hAnsi="Twentieth Century" w:cs="Twentieth Century"/>
                <w:b/>
              </w:rPr>
              <w:t>A Terra: Estudos e Representações</w:t>
            </w:r>
          </w:p>
          <w:p w14:paraId="5552596F" w14:textId="77777777" w:rsidR="009123FF" w:rsidRDefault="008708E7">
            <w:pPr>
              <w:spacing w:after="0" w:line="360" w:lineRule="auto"/>
              <w:ind w:left="0" w:hanging="2"/>
              <w:rPr>
                <w:rFonts w:ascii="Twentieth Century" w:eastAsia="Twentieth Century" w:hAnsi="Twentieth Century" w:cs="Twentieth Century"/>
              </w:rPr>
            </w:pPr>
            <w:r>
              <w:rPr>
                <w:rFonts w:ascii="Twentieth Century" w:eastAsia="Twentieth Century" w:hAnsi="Twentieth Century" w:cs="Twentieth Century"/>
              </w:rPr>
              <w:t>- A localização dos diferentes elementos da superfície terrestre</w:t>
            </w:r>
          </w:p>
        </w:tc>
        <w:tc>
          <w:tcPr>
            <w:tcW w:w="4536" w:type="dxa"/>
            <w:tcBorders>
              <w:top w:val="single" w:sz="4" w:space="0" w:color="000000"/>
              <w:left w:val="single" w:sz="4" w:space="0" w:color="000000"/>
              <w:right w:val="single" w:sz="4" w:space="0" w:color="000000"/>
            </w:tcBorders>
          </w:tcPr>
          <w:p w14:paraId="533DEC36" w14:textId="77777777" w:rsidR="009123FF" w:rsidRDefault="008708E7">
            <w:pPr>
              <w:numPr>
                <w:ilvl w:val="0"/>
                <w:numId w:val="7"/>
              </w:numPr>
              <w:pBdr>
                <w:top w:val="nil"/>
                <w:left w:val="nil"/>
                <w:bottom w:val="nil"/>
                <w:right w:val="nil"/>
                <w:between w:val="nil"/>
              </w:pBdr>
              <w:tabs>
                <w:tab w:val="left" w:pos="317"/>
              </w:tabs>
              <w:spacing w:after="0" w:line="360" w:lineRule="auto"/>
              <w:ind w:left="0" w:hanging="2"/>
              <w:rPr>
                <w:rFonts w:ascii="Twentieth Century" w:eastAsia="Twentieth Century" w:hAnsi="Twentieth Century" w:cs="Twentieth Century"/>
                <w:color w:val="000000"/>
              </w:rPr>
            </w:pPr>
            <w:r>
              <w:rPr>
                <w:rFonts w:ascii="Twentieth Century" w:eastAsia="Twentieth Century" w:hAnsi="Twentieth Century" w:cs="Twentieth Century"/>
                <w:color w:val="000000"/>
              </w:rPr>
              <w:t>Localização absoluta</w:t>
            </w:r>
          </w:p>
          <w:p w14:paraId="099BBB3F" w14:textId="77777777" w:rsidR="009123FF" w:rsidRDefault="009123FF">
            <w:pPr>
              <w:pBdr>
                <w:top w:val="nil"/>
                <w:left w:val="nil"/>
                <w:bottom w:val="nil"/>
                <w:right w:val="nil"/>
                <w:between w:val="nil"/>
              </w:pBdr>
              <w:tabs>
                <w:tab w:val="left" w:pos="317"/>
              </w:tabs>
              <w:spacing w:after="0" w:line="360" w:lineRule="auto"/>
              <w:ind w:left="0" w:hanging="2"/>
              <w:rPr>
                <w:rFonts w:ascii="Twentieth Century" w:eastAsia="Twentieth Century" w:hAnsi="Twentieth Century" w:cs="Twentieth Century"/>
                <w:color w:val="000000"/>
              </w:rPr>
            </w:pPr>
          </w:p>
        </w:tc>
        <w:tc>
          <w:tcPr>
            <w:tcW w:w="1276" w:type="dxa"/>
            <w:tcBorders>
              <w:top w:val="single" w:sz="4" w:space="0" w:color="000000"/>
              <w:left w:val="single" w:sz="4" w:space="0" w:color="000000"/>
              <w:right w:val="single" w:sz="4" w:space="0" w:color="000000"/>
            </w:tcBorders>
            <w:vAlign w:val="center"/>
          </w:tcPr>
          <w:p w14:paraId="366B1B61" w14:textId="77777777" w:rsidR="009123FF" w:rsidRDefault="008708E7">
            <w:pPr>
              <w:ind w:left="0" w:hanging="2"/>
              <w:jc w:val="center"/>
              <w:rPr>
                <w:rFonts w:ascii="Twentieth Century" w:eastAsia="Twentieth Century" w:hAnsi="Twentieth Century" w:cs="Twentieth Century"/>
                <w:highlight w:val="yellow"/>
              </w:rPr>
            </w:pPr>
            <w:r>
              <w:rPr>
                <w:rFonts w:ascii="Twentieth Century" w:eastAsia="Twentieth Century" w:hAnsi="Twentieth Century" w:cs="Twentieth Century"/>
                <w:b/>
              </w:rPr>
              <w:t>10</w:t>
            </w:r>
          </w:p>
        </w:tc>
      </w:tr>
      <w:tr w:rsidR="009123FF" w14:paraId="074736C0" w14:textId="77777777">
        <w:trPr>
          <w:trHeight w:val="1270"/>
        </w:trPr>
        <w:tc>
          <w:tcPr>
            <w:tcW w:w="3685" w:type="dxa"/>
            <w:tcBorders>
              <w:top w:val="single" w:sz="4" w:space="0" w:color="000000"/>
              <w:left w:val="single" w:sz="4" w:space="0" w:color="000000"/>
              <w:bottom w:val="single" w:sz="4" w:space="0" w:color="000000"/>
              <w:right w:val="single" w:sz="4" w:space="0" w:color="000000"/>
            </w:tcBorders>
          </w:tcPr>
          <w:p w14:paraId="7803AC31" w14:textId="77777777" w:rsidR="009123FF" w:rsidRDefault="008708E7">
            <w:pPr>
              <w:spacing w:after="0" w:line="360" w:lineRule="auto"/>
              <w:ind w:left="0" w:hanging="2"/>
              <w:rPr>
                <w:rFonts w:ascii="Twentieth Century" w:eastAsia="Twentieth Century" w:hAnsi="Twentieth Century" w:cs="Twentieth Century"/>
              </w:rPr>
            </w:pPr>
            <w:r>
              <w:rPr>
                <w:rFonts w:ascii="Twentieth Century" w:eastAsia="Twentieth Century" w:hAnsi="Twentieth Century" w:cs="Twentieth Century"/>
                <w:b/>
              </w:rPr>
              <w:t>Meio Natural</w:t>
            </w:r>
          </w:p>
          <w:p w14:paraId="3FF1CA1D" w14:textId="77777777" w:rsidR="009123FF" w:rsidRDefault="008708E7">
            <w:pPr>
              <w:spacing w:after="0" w:line="360" w:lineRule="auto"/>
              <w:ind w:left="0" w:hanging="2"/>
              <w:rPr>
                <w:rFonts w:ascii="Twentieth Century" w:eastAsia="Twentieth Century" w:hAnsi="Twentieth Century" w:cs="Twentieth Century"/>
              </w:rPr>
            </w:pPr>
            <w:r>
              <w:rPr>
                <w:rFonts w:ascii="Twentieth Century" w:eastAsia="Twentieth Century" w:hAnsi="Twentieth Century" w:cs="Twentieth Century"/>
              </w:rPr>
              <w:t>- O relevo</w:t>
            </w:r>
          </w:p>
        </w:tc>
        <w:tc>
          <w:tcPr>
            <w:tcW w:w="4536" w:type="dxa"/>
            <w:tcBorders>
              <w:top w:val="single" w:sz="4" w:space="0" w:color="000000"/>
              <w:left w:val="single" w:sz="4" w:space="0" w:color="000000"/>
              <w:bottom w:val="single" w:sz="4" w:space="0" w:color="000000"/>
              <w:right w:val="single" w:sz="4" w:space="0" w:color="000000"/>
            </w:tcBorders>
          </w:tcPr>
          <w:p w14:paraId="39E38D2F" w14:textId="77777777" w:rsidR="009123FF" w:rsidRDefault="008708E7">
            <w:pPr>
              <w:numPr>
                <w:ilvl w:val="0"/>
                <w:numId w:val="1"/>
              </w:numPr>
              <w:pBdr>
                <w:top w:val="nil"/>
                <w:left w:val="nil"/>
                <w:bottom w:val="nil"/>
                <w:right w:val="nil"/>
                <w:between w:val="nil"/>
              </w:pBdr>
              <w:tabs>
                <w:tab w:val="left" w:pos="317"/>
              </w:tabs>
              <w:spacing w:after="0" w:line="360" w:lineRule="auto"/>
              <w:ind w:left="0" w:hanging="2"/>
              <w:rPr>
                <w:rFonts w:ascii="Twentieth Century" w:eastAsia="Twentieth Century" w:hAnsi="Twentieth Century" w:cs="Twentieth Century"/>
                <w:color w:val="000000"/>
              </w:rPr>
            </w:pPr>
            <w:r>
              <w:rPr>
                <w:rFonts w:ascii="Twentieth Century" w:eastAsia="Twentieth Century" w:hAnsi="Twentieth Century" w:cs="Twentieth Century"/>
                <w:color w:val="000000"/>
              </w:rPr>
              <w:t>As principais formas de relevo.</w:t>
            </w:r>
          </w:p>
        </w:tc>
        <w:tc>
          <w:tcPr>
            <w:tcW w:w="1276" w:type="dxa"/>
            <w:tcBorders>
              <w:top w:val="single" w:sz="4" w:space="0" w:color="000000"/>
              <w:left w:val="single" w:sz="4" w:space="0" w:color="000000"/>
              <w:bottom w:val="single" w:sz="4" w:space="0" w:color="000000"/>
              <w:right w:val="single" w:sz="4" w:space="0" w:color="000000"/>
            </w:tcBorders>
            <w:vAlign w:val="center"/>
          </w:tcPr>
          <w:p w14:paraId="69AC04F6" w14:textId="77777777" w:rsidR="009123FF" w:rsidRDefault="008708E7">
            <w:pPr>
              <w:ind w:left="0" w:hanging="2"/>
              <w:jc w:val="center"/>
              <w:rPr>
                <w:rFonts w:ascii="Twentieth Century" w:eastAsia="Twentieth Century" w:hAnsi="Twentieth Century" w:cs="Twentieth Century"/>
                <w:color w:val="FF0000"/>
                <w:highlight w:val="yellow"/>
              </w:rPr>
            </w:pPr>
            <w:r>
              <w:rPr>
                <w:rFonts w:ascii="Twentieth Century" w:eastAsia="Twentieth Century" w:hAnsi="Twentieth Century" w:cs="Twentieth Century"/>
                <w:b/>
              </w:rPr>
              <w:t xml:space="preserve">5 </w:t>
            </w:r>
          </w:p>
        </w:tc>
      </w:tr>
      <w:tr w:rsidR="009123FF" w14:paraId="280A19EA" w14:textId="77777777">
        <w:trPr>
          <w:trHeight w:val="1809"/>
        </w:trPr>
        <w:tc>
          <w:tcPr>
            <w:tcW w:w="3685" w:type="dxa"/>
            <w:tcBorders>
              <w:top w:val="single" w:sz="4" w:space="0" w:color="000000"/>
              <w:left w:val="single" w:sz="4" w:space="0" w:color="000000"/>
              <w:bottom w:val="single" w:sz="4" w:space="0" w:color="000000"/>
              <w:right w:val="single" w:sz="4" w:space="0" w:color="000000"/>
            </w:tcBorders>
          </w:tcPr>
          <w:p w14:paraId="520C0E02" w14:textId="77777777" w:rsidR="009123FF" w:rsidRDefault="008708E7">
            <w:pPr>
              <w:spacing w:after="0" w:line="360" w:lineRule="auto"/>
              <w:ind w:left="0" w:hanging="2"/>
              <w:rPr>
                <w:rFonts w:ascii="Twentieth Century" w:eastAsia="Twentieth Century" w:hAnsi="Twentieth Century" w:cs="Twentieth Century"/>
              </w:rPr>
            </w:pPr>
            <w:r>
              <w:rPr>
                <w:rFonts w:ascii="Twentieth Century" w:eastAsia="Twentieth Century" w:hAnsi="Twentieth Century" w:cs="Twentieth Century"/>
                <w:b/>
              </w:rPr>
              <w:t>A População e o Povoamento</w:t>
            </w:r>
          </w:p>
          <w:p w14:paraId="33824DA6" w14:textId="77777777" w:rsidR="009123FF" w:rsidRDefault="008708E7">
            <w:pPr>
              <w:spacing w:after="0" w:line="360" w:lineRule="auto"/>
              <w:ind w:left="0" w:hanging="2"/>
              <w:rPr>
                <w:rFonts w:ascii="Twentieth Century" w:eastAsia="Twentieth Century" w:hAnsi="Twentieth Century" w:cs="Twentieth Century"/>
              </w:rPr>
            </w:pPr>
            <w:r>
              <w:rPr>
                <w:rFonts w:ascii="Twentieth Century" w:eastAsia="Twentieth Century" w:hAnsi="Twentieth Century" w:cs="Twentieth Century"/>
              </w:rPr>
              <w:t>- Distribuição da população mundial</w:t>
            </w:r>
          </w:p>
          <w:p w14:paraId="28E9BADD" w14:textId="77777777" w:rsidR="009123FF" w:rsidRDefault="008708E7">
            <w:pPr>
              <w:spacing w:after="0" w:line="360" w:lineRule="auto"/>
              <w:ind w:left="0" w:hanging="2"/>
              <w:rPr>
                <w:rFonts w:ascii="Twentieth Century" w:eastAsia="Twentieth Century" w:hAnsi="Twentieth Century" w:cs="Twentieth Century"/>
              </w:rPr>
            </w:pPr>
            <w:r>
              <w:rPr>
                <w:rFonts w:ascii="Twentieth Century" w:eastAsia="Twentieth Century" w:hAnsi="Twentieth Century" w:cs="Twentieth Century"/>
              </w:rPr>
              <w:t>- As grandes concentrações humanas</w:t>
            </w:r>
          </w:p>
        </w:tc>
        <w:tc>
          <w:tcPr>
            <w:tcW w:w="4536" w:type="dxa"/>
            <w:tcBorders>
              <w:top w:val="single" w:sz="4" w:space="0" w:color="000000"/>
              <w:left w:val="single" w:sz="4" w:space="0" w:color="000000"/>
              <w:bottom w:val="single" w:sz="4" w:space="0" w:color="000000"/>
              <w:right w:val="single" w:sz="4" w:space="0" w:color="000000"/>
            </w:tcBorders>
          </w:tcPr>
          <w:p w14:paraId="29B276CB" w14:textId="77777777" w:rsidR="009123FF" w:rsidRDefault="008708E7">
            <w:pPr>
              <w:numPr>
                <w:ilvl w:val="0"/>
                <w:numId w:val="2"/>
              </w:numPr>
              <w:pBdr>
                <w:top w:val="nil"/>
                <w:left w:val="nil"/>
                <w:bottom w:val="nil"/>
                <w:right w:val="nil"/>
                <w:between w:val="nil"/>
              </w:pBdr>
              <w:tabs>
                <w:tab w:val="left" w:pos="317"/>
              </w:tabs>
              <w:spacing w:after="0" w:line="360" w:lineRule="auto"/>
              <w:ind w:left="0" w:hanging="2"/>
              <w:rPr>
                <w:rFonts w:ascii="Twentieth Century" w:eastAsia="Twentieth Century" w:hAnsi="Twentieth Century" w:cs="Twentieth Century"/>
                <w:color w:val="000000"/>
              </w:rPr>
            </w:pPr>
            <w:r>
              <w:rPr>
                <w:rFonts w:ascii="Twentieth Century" w:eastAsia="Twentieth Century" w:hAnsi="Twentieth Century" w:cs="Twentieth Century"/>
                <w:color w:val="000000"/>
              </w:rPr>
              <w:t>Mobilidade da população.</w:t>
            </w:r>
          </w:p>
          <w:p w14:paraId="3E8420AA" w14:textId="77777777" w:rsidR="009123FF" w:rsidRDefault="008708E7">
            <w:pPr>
              <w:numPr>
                <w:ilvl w:val="0"/>
                <w:numId w:val="2"/>
              </w:numPr>
              <w:pBdr>
                <w:top w:val="nil"/>
                <w:left w:val="nil"/>
                <w:bottom w:val="nil"/>
                <w:right w:val="nil"/>
                <w:between w:val="nil"/>
              </w:pBdr>
              <w:tabs>
                <w:tab w:val="left" w:pos="317"/>
              </w:tabs>
              <w:spacing w:after="0" w:line="360" w:lineRule="auto"/>
              <w:ind w:left="0" w:hanging="2"/>
              <w:rPr>
                <w:rFonts w:ascii="Twentieth Century" w:eastAsia="Twentieth Century" w:hAnsi="Twentieth Century" w:cs="Twentieth Century"/>
                <w:color w:val="000000"/>
              </w:rPr>
            </w:pPr>
            <w:r>
              <w:rPr>
                <w:rFonts w:ascii="Twentieth Century" w:eastAsia="Twentieth Century" w:hAnsi="Twentieth Century" w:cs="Twentieth Century"/>
                <w:color w:val="000000"/>
              </w:rPr>
              <w:t>Cidades, principais áreas de fixação humana</w:t>
            </w:r>
          </w:p>
        </w:tc>
        <w:tc>
          <w:tcPr>
            <w:tcW w:w="1276" w:type="dxa"/>
            <w:tcBorders>
              <w:top w:val="single" w:sz="4" w:space="0" w:color="000000"/>
              <w:left w:val="single" w:sz="4" w:space="0" w:color="000000"/>
              <w:bottom w:val="single" w:sz="4" w:space="0" w:color="000000"/>
              <w:right w:val="single" w:sz="4" w:space="0" w:color="000000"/>
            </w:tcBorders>
            <w:vAlign w:val="center"/>
          </w:tcPr>
          <w:p w14:paraId="6DE5E835" w14:textId="77777777" w:rsidR="009123FF" w:rsidRDefault="008708E7">
            <w:pPr>
              <w:ind w:left="0" w:hanging="2"/>
              <w:jc w:val="center"/>
              <w:rPr>
                <w:rFonts w:ascii="Twentieth Century" w:eastAsia="Twentieth Century" w:hAnsi="Twentieth Century" w:cs="Twentieth Century"/>
                <w:highlight w:val="yellow"/>
              </w:rPr>
            </w:pPr>
            <w:r>
              <w:rPr>
                <w:rFonts w:ascii="Twentieth Century" w:eastAsia="Twentieth Century" w:hAnsi="Twentieth Century" w:cs="Twentieth Century"/>
                <w:b/>
              </w:rPr>
              <w:t>15</w:t>
            </w:r>
          </w:p>
        </w:tc>
      </w:tr>
      <w:tr w:rsidR="009123FF" w14:paraId="4766FE8E" w14:textId="77777777">
        <w:trPr>
          <w:trHeight w:val="552"/>
        </w:trPr>
        <w:tc>
          <w:tcPr>
            <w:tcW w:w="3685" w:type="dxa"/>
            <w:tcBorders>
              <w:top w:val="single" w:sz="4" w:space="0" w:color="000000"/>
              <w:left w:val="single" w:sz="4" w:space="0" w:color="000000"/>
              <w:bottom w:val="single" w:sz="4" w:space="0" w:color="000000"/>
              <w:right w:val="single" w:sz="4" w:space="0" w:color="000000"/>
            </w:tcBorders>
          </w:tcPr>
          <w:p w14:paraId="2690E5C6" w14:textId="77777777" w:rsidR="009123FF" w:rsidRDefault="008708E7">
            <w:pPr>
              <w:spacing w:after="0" w:line="360" w:lineRule="auto"/>
              <w:ind w:left="0" w:hanging="2"/>
              <w:rPr>
                <w:rFonts w:ascii="Twentieth Century" w:eastAsia="Twentieth Century" w:hAnsi="Twentieth Century" w:cs="Twentieth Century"/>
              </w:rPr>
            </w:pPr>
            <w:r>
              <w:rPr>
                <w:rFonts w:ascii="Twentieth Century" w:eastAsia="Twentieth Century" w:hAnsi="Twentieth Century" w:cs="Twentieth Century"/>
                <w:b/>
              </w:rPr>
              <w:t>Atividades Económicas</w:t>
            </w:r>
          </w:p>
          <w:p w14:paraId="1FCBA683" w14:textId="77777777" w:rsidR="009123FF" w:rsidRDefault="008708E7">
            <w:pPr>
              <w:spacing w:after="0" w:line="360" w:lineRule="auto"/>
              <w:ind w:left="0" w:hanging="2"/>
              <w:rPr>
                <w:rFonts w:ascii="Twentieth Century" w:eastAsia="Twentieth Century" w:hAnsi="Twentieth Century" w:cs="Twentieth Century"/>
              </w:rPr>
            </w:pPr>
            <w:r>
              <w:rPr>
                <w:rFonts w:ascii="Twentieth Century" w:eastAsia="Twentieth Century" w:hAnsi="Twentieth Century" w:cs="Twentieth Century"/>
              </w:rPr>
              <w:t>- Agricultura</w:t>
            </w:r>
          </w:p>
          <w:p w14:paraId="62BFB14D" w14:textId="77777777" w:rsidR="009123FF" w:rsidRDefault="008708E7">
            <w:pPr>
              <w:spacing w:after="0" w:line="360" w:lineRule="auto"/>
              <w:ind w:left="0" w:hanging="2"/>
              <w:rPr>
                <w:rFonts w:ascii="Twentieth Century" w:eastAsia="Twentieth Century" w:hAnsi="Twentieth Century" w:cs="Twentieth Century"/>
              </w:rPr>
            </w:pPr>
            <w:r>
              <w:rPr>
                <w:rFonts w:ascii="Twentieth Century" w:eastAsia="Twentieth Century" w:hAnsi="Twentieth Century" w:cs="Twentieth Century"/>
              </w:rPr>
              <w:t>- Pesca</w:t>
            </w:r>
          </w:p>
        </w:tc>
        <w:tc>
          <w:tcPr>
            <w:tcW w:w="4536" w:type="dxa"/>
            <w:tcBorders>
              <w:top w:val="single" w:sz="4" w:space="0" w:color="000000"/>
              <w:left w:val="single" w:sz="4" w:space="0" w:color="000000"/>
              <w:bottom w:val="single" w:sz="4" w:space="0" w:color="000000"/>
              <w:right w:val="single" w:sz="4" w:space="0" w:color="000000"/>
            </w:tcBorders>
          </w:tcPr>
          <w:p w14:paraId="6F01BC46" w14:textId="77777777" w:rsidR="009123FF" w:rsidRDefault="008708E7">
            <w:pPr>
              <w:numPr>
                <w:ilvl w:val="0"/>
                <w:numId w:val="3"/>
              </w:numPr>
              <w:pBdr>
                <w:top w:val="nil"/>
                <w:left w:val="nil"/>
                <w:bottom w:val="nil"/>
                <w:right w:val="nil"/>
                <w:between w:val="nil"/>
              </w:pBdr>
              <w:tabs>
                <w:tab w:val="left" w:pos="317"/>
              </w:tabs>
              <w:spacing w:after="0" w:line="360" w:lineRule="auto"/>
              <w:ind w:left="0" w:hanging="2"/>
              <w:rPr>
                <w:rFonts w:ascii="Twentieth Century" w:eastAsia="Twentieth Century" w:hAnsi="Twentieth Century" w:cs="Twentieth Century"/>
                <w:color w:val="000000"/>
              </w:rPr>
            </w:pPr>
            <w:r>
              <w:rPr>
                <w:rFonts w:ascii="Twentieth Century" w:eastAsia="Twentieth Century" w:hAnsi="Twentieth Century" w:cs="Twentieth Century"/>
                <w:color w:val="000000"/>
              </w:rPr>
              <w:t>Sistemas de cultura (aproveitamento da terra, variedade de culturas, necessidade de água e morfologia dos campos);</w:t>
            </w:r>
          </w:p>
          <w:p w14:paraId="30A0B973" w14:textId="77777777" w:rsidR="009123FF" w:rsidRDefault="008708E7">
            <w:pPr>
              <w:numPr>
                <w:ilvl w:val="0"/>
                <w:numId w:val="3"/>
              </w:numPr>
              <w:pBdr>
                <w:top w:val="nil"/>
                <w:left w:val="nil"/>
                <w:bottom w:val="nil"/>
                <w:right w:val="nil"/>
                <w:between w:val="nil"/>
              </w:pBdr>
              <w:tabs>
                <w:tab w:val="left" w:pos="317"/>
              </w:tabs>
              <w:spacing w:after="0" w:line="360" w:lineRule="auto"/>
              <w:ind w:left="0" w:hanging="2"/>
              <w:rPr>
                <w:rFonts w:ascii="Twentieth Century" w:eastAsia="Twentieth Century" w:hAnsi="Twentieth Century" w:cs="Twentieth Century"/>
                <w:color w:val="000000"/>
              </w:rPr>
            </w:pPr>
            <w:r>
              <w:rPr>
                <w:rFonts w:ascii="Twentieth Century" w:eastAsia="Twentieth Century" w:hAnsi="Twentieth Century" w:cs="Twentieth Century"/>
                <w:color w:val="000000"/>
              </w:rPr>
              <w:t>Diferentes tipos de pesca (características);</w:t>
            </w:r>
          </w:p>
        </w:tc>
        <w:tc>
          <w:tcPr>
            <w:tcW w:w="1276" w:type="dxa"/>
            <w:tcBorders>
              <w:top w:val="single" w:sz="4" w:space="0" w:color="000000"/>
              <w:left w:val="single" w:sz="4" w:space="0" w:color="000000"/>
              <w:bottom w:val="single" w:sz="4" w:space="0" w:color="000000"/>
              <w:right w:val="single" w:sz="4" w:space="0" w:color="000000"/>
            </w:tcBorders>
            <w:vAlign w:val="center"/>
          </w:tcPr>
          <w:p w14:paraId="20F73989" w14:textId="77777777" w:rsidR="009123FF" w:rsidRDefault="008708E7">
            <w:pPr>
              <w:ind w:left="0" w:hanging="2"/>
              <w:jc w:val="center"/>
              <w:rPr>
                <w:rFonts w:ascii="Twentieth Century" w:eastAsia="Twentieth Century" w:hAnsi="Twentieth Century" w:cs="Twentieth Century"/>
                <w:highlight w:val="yellow"/>
              </w:rPr>
            </w:pPr>
            <w:r>
              <w:rPr>
                <w:rFonts w:ascii="Twentieth Century" w:eastAsia="Twentieth Century" w:hAnsi="Twentieth Century" w:cs="Twentieth Century"/>
                <w:b/>
              </w:rPr>
              <w:t>10</w:t>
            </w:r>
          </w:p>
        </w:tc>
      </w:tr>
      <w:tr w:rsidR="009123FF" w14:paraId="499F09D9" w14:textId="77777777">
        <w:trPr>
          <w:trHeight w:val="3256"/>
        </w:trPr>
        <w:tc>
          <w:tcPr>
            <w:tcW w:w="3685" w:type="dxa"/>
            <w:tcBorders>
              <w:top w:val="single" w:sz="4" w:space="0" w:color="000000"/>
              <w:left w:val="single" w:sz="4" w:space="0" w:color="000000"/>
              <w:bottom w:val="single" w:sz="4" w:space="0" w:color="000000"/>
              <w:right w:val="single" w:sz="4" w:space="0" w:color="000000"/>
            </w:tcBorders>
          </w:tcPr>
          <w:p w14:paraId="554079DB" w14:textId="77777777" w:rsidR="009123FF" w:rsidRDefault="008708E7">
            <w:pPr>
              <w:spacing w:after="0" w:line="360" w:lineRule="auto"/>
              <w:ind w:left="0" w:hanging="2"/>
              <w:rPr>
                <w:rFonts w:ascii="Twentieth Century" w:eastAsia="Twentieth Century" w:hAnsi="Twentieth Century" w:cs="Twentieth Century"/>
              </w:rPr>
            </w:pPr>
            <w:r>
              <w:rPr>
                <w:rFonts w:ascii="Twentieth Century" w:eastAsia="Twentieth Century" w:hAnsi="Twentieth Century" w:cs="Twentieth Century"/>
                <w:b/>
              </w:rPr>
              <w:lastRenderedPageBreak/>
              <w:t>Contrastes de Desenvolvimento</w:t>
            </w:r>
          </w:p>
          <w:p w14:paraId="258FB275" w14:textId="77777777" w:rsidR="009123FF" w:rsidRDefault="008708E7">
            <w:pPr>
              <w:spacing w:after="0" w:line="360" w:lineRule="auto"/>
              <w:ind w:left="0" w:hanging="2"/>
              <w:rPr>
                <w:rFonts w:ascii="Twentieth Century" w:eastAsia="Twentieth Century" w:hAnsi="Twentieth Century" w:cs="Twentieth Century"/>
              </w:rPr>
            </w:pPr>
            <w:r>
              <w:rPr>
                <w:rFonts w:ascii="Twentieth Century" w:eastAsia="Twentieth Century" w:hAnsi="Twentieth Century" w:cs="Twentieth Century"/>
              </w:rPr>
              <w:t>- Países com diferentes graus de desenvolvimento</w:t>
            </w:r>
          </w:p>
          <w:p w14:paraId="14BDFB90" w14:textId="77777777" w:rsidR="009123FF" w:rsidRDefault="008708E7">
            <w:pPr>
              <w:spacing w:after="0" w:line="360" w:lineRule="auto"/>
              <w:ind w:left="0" w:hanging="2"/>
              <w:rPr>
                <w:rFonts w:ascii="Twentieth Century" w:eastAsia="Twentieth Century" w:hAnsi="Twentieth Century" w:cs="Twentieth Century"/>
              </w:rPr>
            </w:pPr>
            <w:r>
              <w:rPr>
                <w:rFonts w:ascii="Twentieth Century" w:eastAsia="Twentieth Century" w:hAnsi="Twentieth Century" w:cs="Twentieth Century"/>
              </w:rPr>
              <w:t>- Interdependência entre espaços com diferentes níveis de desenvolvimento</w:t>
            </w:r>
          </w:p>
        </w:tc>
        <w:tc>
          <w:tcPr>
            <w:tcW w:w="4536" w:type="dxa"/>
            <w:tcBorders>
              <w:top w:val="single" w:sz="4" w:space="0" w:color="000000"/>
              <w:left w:val="single" w:sz="4" w:space="0" w:color="000000"/>
              <w:bottom w:val="single" w:sz="4" w:space="0" w:color="000000"/>
              <w:right w:val="single" w:sz="4" w:space="0" w:color="000000"/>
            </w:tcBorders>
          </w:tcPr>
          <w:p w14:paraId="57687A9C" w14:textId="77777777" w:rsidR="009123FF" w:rsidRDefault="008708E7">
            <w:pPr>
              <w:numPr>
                <w:ilvl w:val="0"/>
                <w:numId w:val="4"/>
              </w:numPr>
              <w:pBdr>
                <w:top w:val="nil"/>
                <w:left w:val="nil"/>
                <w:bottom w:val="nil"/>
                <w:right w:val="nil"/>
                <w:between w:val="nil"/>
              </w:pBdr>
              <w:tabs>
                <w:tab w:val="left" w:pos="317"/>
              </w:tabs>
              <w:spacing w:after="0" w:line="360" w:lineRule="auto"/>
              <w:ind w:left="0" w:hanging="2"/>
              <w:rPr>
                <w:rFonts w:ascii="Twentieth Century" w:eastAsia="Twentieth Century" w:hAnsi="Twentieth Century" w:cs="Twentieth Century"/>
                <w:color w:val="000000"/>
              </w:rPr>
            </w:pPr>
            <w:r>
              <w:rPr>
                <w:rFonts w:ascii="Twentieth Century" w:eastAsia="Twentieth Century" w:hAnsi="Twentieth Century" w:cs="Twentieth Century"/>
                <w:color w:val="000000"/>
              </w:rPr>
              <w:t>Crescimento económico e desenvolvimento humano;</w:t>
            </w:r>
          </w:p>
          <w:p w14:paraId="5E348E75" w14:textId="77777777" w:rsidR="009123FF" w:rsidRDefault="008708E7">
            <w:pPr>
              <w:numPr>
                <w:ilvl w:val="0"/>
                <w:numId w:val="4"/>
              </w:numPr>
              <w:pBdr>
                <w:top w:val="nil"/>
                <w:left w:val="nil"/>
                <w:bottom w:val="nil"/>
                <w:right w:val="nil"/>
                <w:between w:val="nil"/>
              </w:pBdr>
              <w:tabs>
                <w:tab w:val="left" w:pos="317"/>
              </w:tabs>
              <w:spacing w:after="0" w:line="360" w:lineRule="auto"/>
              <w:ind w:left="0" w:hanging="2"/>
              <w:rPr>
                <w:rFonts w:ascii="Twentieth Century" w:eastAsia="Twentieth Century" w:hAnsi="Twentieth Century" w:cs="Twentieth Century"/>
                <w:color w:val="000000"/>
              </w:rPr>
            </w:pPr>
            <w:r>
              <w:rPr>
                <w:rFonts w:ascii="Twentieth Century" w:eastAsia="Twentieth Century" w:hAnsi="Twentieth Century" w:cs="Twentieth Century"/>
                <w:color w:val="000000"/>
              </w:rPr>
              <w:t>Contrastes demográficos, socioculturais, políticos e ambientais;</w:t>
            </w:r>
          </w:p>
          <w:p w14:paraId="214A0BE7" w14:textId="77777777" w:rsidR="009123FF" w:rsidRDefault="008708E7">
            <w:pPr>
              <w:numPr>
                <w:ilvl w:val="0"/>
                <w:numId w:val="4"/>
              </w:numPr>
              <w:pBdr>
                <w:top w:val="nil"/>
                <w:left w:val="nil"/>
                <w:bottom w:val="nil"/>
                <w:right w:val="nil"/>
                <w:between w:val="nil"/>
              </w:pBdr>
              <w:tabs>
                <w:tab w:val="left" w:pos="317"/>
              </w:tabs>
              <w:spacing w:after="0" w:line="360" w:lineRule="auto"/>
              <w:ind w:left="0" w:hanging="2"/>
              <w:rPr>
                <w:rFonts w:ascii="Twentieth Century" w:eastAsia="Twentieth Century" w:hAnsi="Twentieth Century" w:cs="Twentieth Century"/>
                <w:color w:val="000000"/>
              </w:rPr>
            </w:pPr>
            <w:r>
              <w:rPr>
                <w:rFonts w:ascii="Twentieth Century" w:eastAsia="Twentieth Century" w:hAnsi="Twentieth Century" w:cs="Twentieth Century"/>
                <w:color w:val="000000"/>
              </w:rPr>
              <w:t>Índice de desenvolvimento humano (IDH);</w:t>
            </w:r>
          </w:p>
          <w:p w14:paraId="30B757E3" w14:textId="77777777" w:rsidR="009123FF" w:rsidRDefault="008708E7">
            <w:pPr>
              <w:numPr>
                <w:ilvl w:val="0"/>
                <w:numId w:val="4"/>
              </w:numPr>
              <w:pBdr>
                <w:top w:val="nil"/>
                <w:left w:val="nil"/>
                <w:bottom w:val="nil"/>
                <w:right w:val="nil"/>
                <w:between w:val="nil"/>
              </w:pBdr>
              <w:tabs>
                <w:tab w:val="left" w:pos="317"/>
              </w:tabs>
              <w:spacing w:after="0" w:line="360" w:lineRule="auto"/>
              <w:ind w:left="0" w:hanging="2"/>
              <w:rPr>
                <w:rFonts w:ascii="Twentieth Century" w:eastAsia="Twentieth Century" w:hAnsi="Twentieth Century" w:cs="Twentieth Century"/>
                <w:color w:val="000000"/>
              </w:rPr>
            </w:pPr>
            <w:r>
              <w:rPr>
                <w:rFonts w:ascii="Twentieth Century" w:eastAsia="Twentieth Century" w:hAnsi="Twentieth Century" w:cs="Twentieth Century"/>
                <w:color w:val="000000"/>
              </w:rPr>
              <w:t>Obstáculos ao desenvolvimento humano</w:t>
            </w:r>
          </w:p>
          <w:p w14:paraId="04B3776F" w14:textId="77777777" w:rsidR="009123FF" w:rsidRDefault="008708E7">
            <w:pPr>
              <w:pBdr>
                <w:top w:val="nil"/>
                <w:left w:val="nil"/>
                <w:bottom w:val="nil"/>
                <w:right w:val="nil"/>
                <w:between w:val="nil"/>
              </w:pBdr>
              <w:tabs>
                <w:tab w:val="left" w:pos="317"/>
              </w:tabs>
              <w:spacing w:after="0" w:line="360" w:lineRule="auto"/>
              <w:ind w:left="0" w:hanging="2"/>
              <w:rPr>
                <w:rFonts w:ascii="Twentieth Century" w:eastAsia="Twentieth Century" w:hAnsi="Twentieth Century" w:cs="Twentieth Century"/>
                <w:color w:val="000000"/>
              </w:rPr>
            </w:pPr>
            <w:r>
              <w:rPr>
                <w:rFonts w:ascii="Twentieth Century" w:eastAsia="Twentieth Century" w:hAnsi="Twentieth Century" w:cs="Twentieth Century"/>
                <w:color w:val="000000"/>
              </w:rPr>
              <w:t>(obstáculos sociais, políticos e económicos).</w:t>
            </w:r>
          </w:p>
        </w:tc>
        <w:tc>
          <w:tcPr>
            <w:tcW w:w="1276" w:type="dxa"/>
            <w:tcBorders>
              <w:top w:val="single" w:sz="4" w:space="0" w:color="000000"/>
              <w:left w:val="single" w:sz="4" w:space="0" w:color="000000"/>
              <w:bottom w:val="single" w:sz="4" w:space="0" w:color="000000"/>
              <w:right w:val="single" w:sz="4" w:space="0" w:color="000000"/>
            </w:tcBorders>
            <w:vAlign w:val="center"/>
          </w:tcPr>
          <w:p w14:paraId="73F99A3D" w14:textId="77777777" w:rsidR="009123FF" w:rsidRDefault="008708E7">
            <w:pPr>
              <w:ind w:left="0" w:hanging="2"/>
              <w:jc w:val="center"/>
              <w:rPr>
                <w:rFonts w:ascii="Twentieth Century" w:eastAsia="Twentieth Century" w:hAnsi="Twentieth Century" w:cs="Twentieth Century"/>
                <w:color w:val="FF0000"/>
                <w:highlight w:val="yellow"/>
              </w:rPr>
            </w:pPr>
            <w:r>
              <w:rPr>
                <w:rFonts w:ascii="Twentieth Century" w:eastAsia="Twentieth Century" w:hAnsi="Twentieth Century" w:cs="Twentieth Century"/>
                <w:b/>
              </w:rPr>
              <w:t>35%</w:t>
            </w:r>
          </w:p>
        </w:tc>
      </w:tr>
      <w:tr w:rsidR="009123FF" w14:paraId="256B969E" w14:textId="77777777">
        <w:trPr>
          <w:trHeight w:val="978"/>
        </w:trPr>
        <w:tc>
          <w:tcPr>
            <w:tcW w:w="3685" w:type="dxa"/>
            <w:tcBorders>
              <w:top w:val="single" w:sz="4" w:space="0" w:color="000000"/>
              <w:left w:val="single" w:sz="4" w:space="0" w:color="000000"/>
              <w:right w:val="single" w:sz="4" w:space="0" w:color="000000"/>
            </w:tcBorders>
          </w:tcPr>
          <w:p w14:paraId="7549B50D" w14:textId="77777777" w:rsidR="009123FF" w:rsidRDefault="008708E7">
            <w:pPr>
              <w:spacing w:after="0" w:line="360" w:lineRule="auto"/>
              <w:ind w:left="0" w:hanging="2"/>
              <w:rPr>
                <w:rFonts w:ascii="Twentieth Century" w:eastAsia="Twentieth Century" w:hAnsi="Twentieth Century" w:cs="Twentieth Century"/>
              </w:rPr>
            </w:pPr>
            <w:r>
              <w:rPr>
                <w:rFonts w:ascii="Twentieth Century" w:eastAsia="Twentieth Century" w:hAnsi="Twentieth Century" w:cs="Twentieth Century"/>
                <w:b/>
              </w:rPr>
              <w:t>Riscos, Ambiente e Sociedade</w:t>
            </w:r>
          </w:p>
          <w:p w14:paraId="27B3B128" w14:textId="77777777" w:rsidR="009123FF" w:rsidRDefault="008708E7">
            <w:pPr>
              <w:spacing w:after="0" w:line="360" w:lineRule="auto"/>
              <w:ind w:left="0" w:hanging="2"/>
              <w:rPr>
                <w:rFonts w:ascii="Twentieth Century" w:eastAsia="Twentieth Century" w:hAnsi="Twentieth Century" w:cs="Twentieth Century"/>
                <w:highlight w:val="yellow"/>
              </w:rPr>
            </w:pPr>
            <w:r>
              <w:rPr>
                <w:rFonts w:ascii="Twentieth Century" w:eastAsia="Twentieth Century" w:hAnsi="Twentieth Century" w:cs="Twentieth Century"/>
              </w:rPr>
              <w:t xml:space="preserve">- Riscos Naturais </w:t>
            </w:r>
          </w:p>
        </w:tc>
        <w:tc>
          <w:tcPr>
            <w:tcW w:w="4536" w:type="dxa"/>
            <w:tcBorders>
              <w:top w:val="single" w:sz="4" w:space="0" w:color="000000"/>
              <w:left w:val="single" w:sz="4" w:space="0" w:color="000000"/>
              <w:right w:val="single" w:sz="4" w:space="0" w:color="000000"/>
            </w:tcBorders>
          </w:tcPr>
          <w:p w14:paraId="33A001B5" w14:textId="77777777" w:rsidR="009123FF" w:rsidRDefault="008708E7">
            <w:pPr>
              <w:numPr>
                <w:ilvl w:val="0"/>
                <w:numId w:val="5"/>
              </w:numPr>
              <w:pBdr>
                <w:top w:val="nil"/>
                <w:left w:val="nil"/>
                <w:bottom w:val="nil"/>
                <w:right w:val="nil"/>
                <w:between w:val="nil"/>
              </w:pBdr>
              <w:tabs>
                <w:tab w:val="left" w:pos="325"/>
              </w:tabs>
              <w:spacing w:after="0" w:line="360" w:lineRule="auto"/>
              <w:ind w:left="0" w:hanging="2"/>
              <w:rPr>
                <w:rFonts w:ascii="Twentieth Century" w:eastAsia="Twentieth Century" w:hAnsi="Twentieth Century" w:cs="Twentieth Century"/>
                <w:color w:val="000000"/>
              </w:rPr>
            </w:pPr>
            <w:r>
              <w:rPr>
                <w:rFonts w:ascii="Twentieth Century" w:eastAsia="Twentieth Century" w:hAnsi="Twentieth Century" w:cs="Twentieth Century"/>
                <w:color w:val="000000"/>
              </w:rPr>
              <w:t xml:space="preserve"> Os furacões /os tornados, As secas, As vagas de frio e as ondas de calor como riscos climáticos com consequências para o meio e a sociedade;</w:t>
            </w:r>
          </w:p>
          <w:p w14:paraId="1C6E3CBF" w14:textId="77777777" w:rsidR="009123FF" w:rsidRDefault="008708E7">
            <w:pPr>
              <w:numPr>
                <w:ilvl w:val="0"/>
                <w:numId w:val="5"/>
              </w:numPr>
              <w:pBdr>
                <w:top w:val="nil"/>
                <w:left w:val="nil"/>
                <w:bottom w:val="nil"/>
                <w:right w:val="nil"/>
                <w:between w:val="nil"/>
              </w:pBdr>
              <w:tabs>
                <w:tab w:val="left" w:pos="325"/>
              </w:tabs>
              <w:spacing w:after="0" w:line="360" w:lineRule="auto"/>
              <w:ind w:left="0" w:hanging="2"/>
              <w:rPr>
                <w:rFonts w:ascii="Twentieth Century" w:eastAsia="Twentieth Century" w:hAnsi="Twentieth Century" w:cs="Twentieth Century"/>
                <w:color w:val="000000"/>
              </w:rPr>
            </w:pPr>
            <w:r>
              <w:rPr>
                <w:rFonts w:ascii="Twentieth Century" w:eastAsia="Twentieth Century" w:hAnsi="Twentieth Century" w:cs="Twentieth Century"/>
                <w:color w:val="000000"/>
              </w:rPr>
              <w:t>As cheias e as inundações como riscos hidrológicos com influência no meio e na sociedade;</w:t>
            </w:r>
          </w:p>
          <w:p w14:paraId="4C1D2382" w14:textId="77777777" w:rsidR="009123FF" w:rsidRDefault="008708E7">
            <w:pPr>
              <w:numPr>
                <w:ilvl w:val="0"/>
                <w:numId w:val="5"/>
              </w:numPr>
              <w:pBdr>
                <w:top w:val="nil"/>
                <w:left w:val="nil"/>
                <w:bottom w:val="nil"/>
                <w:right w:val="nil"/>
                <w:between w:val="nil"/>
              </w:pBdr>
              <w:tabs>
                <w:tab w:val="left" w:pos="325"/>
              </w:tabs>
              <w:spacing w:after="0" w:line="360" w:lineRule="auto"/>
              <w:ind w:left="0" w:hanging="2"/>
              <w:rPr>
                <w:rFonts w:ascii="Twentieth Century" w:eastAsia="Twentieth Century" w:hAnsi="Twentieth Century" w:cs="Twentieth Century"/>
                <w:color w:val="000000"/>
              </w:rPr>
            </w:pPr>
            <w:r>
              <w:rPr>
                <w:rFonts w:ascii="Twentieth Century" w:eastAsia="Twentieth Century" w:hAnsi="Twentieth Century" w:cs="Twentieth Century"/>
                <w:color w:val="000000"/>
              </w:rPr>
              <w:t>Os movimentos de vertente e as avalanches como riscos geomorfológicos com influência no meio e na sociedade.</w:t>
            </w:r>
          </w:p>
        </w:tc>
        <w:tc>
          <w:tcPr>
            <w:tcW w:w="1276" w:type="dxa"/>
            <w:tcBorders>
              <w:top w:val="single" w:sz="4" w:space="0" w:color="000000"/>
              <w:left w:val="single" w:sz="4" w:space="0" w:color="000000"/>
              <w:right w:val="single" w:sz="4" w:space="0" w:color="000000"/>
            </w:tcBorders>
            <w:vAlign w:val="center"/>
          </w:tcPr>
          <w:p w14:paraId="14E80DF1" w14:textId="77777777" w:rsidR="009123FF" w:rsidRDefault="008708E7">
            <w:pPr>
              <w:ind w:left="0" w:hanging="2"/>
              <w:jc w:val="center"/>
              <w:rPr>
                <w:rFonts w:ascii="Twentieth Century" w:eastAsia="Twentieth Century" w:hAnsi="Twentieth Century" w:cs="Twentieth Century"/>
                <w:highlight w:val="yellow"/>
              </w:rPr>
            </w:pPr>
            <w:r>
              <w:rPr>
                <w:rFonts w:ascii="Twentieth Century" w:eastAsia="Twentieth Century" w:hAnsi="Twentieth Century" w:cs="Twentieth Century"/>
                <w:b/>
              </w:rPr>
              <w:t>25%</w:t>
            </w:r>
          </w:p>
        </w:tc>
      </w:tr>
    </w:tbl>
    <w:p w14:paraId="2B7DEA7D" w14:textId="77777777" w:rsidR="009123FF" w:rsidRDefault="009123FF">
      <w:pPr>
        <w:spacing w:after="0" w:line="360" w:lineRule="auto"/>
        <w:ind w:left="0" w:hanging="2"/>
        <w:rPr>
          <w:rFonts w:ascii="Twentieth Century" w:eastAsia="Twentieth Century" w:hAnsi="Twentieth Century" w:cs="Twentieth Century"/>
          <w:u w:val="single"/>
        </w:rPr>
      </w:pPr>
    </w:p>
    <w:p w14:paraId="18999501" w14:textId="77777777" w:rsidR="009123FF" w:rsidRDefault="008708E7">
      <w:pPr>
        <w:spacing w:before="240" w:after="0" w:line="360" w:lineRule="auto"/>
        <w:ind w:left="0" w:hanging="2"/>
        <w:jc w:val="both"/>
        <w:rPr>
          <w:rFonts w:ascii="Twentieth Century" w:eastAsia="Twentieth Century" w:hAnsi="Twentieth Century" w:cs="Twentieth Century"/>
          <w:b/>
        </w:rPr>
      </w:pPr>
      <w:r>
        <w:rPr>
          <w:rFonts w:ascii="Twentieth Century" w:eastAsia="Twentieth Century" w:hAnsi="Twentieth Century" w:cs="Twentieth Century"/>
          <w:b/>
        </w:rPr>
        <w:t xml:space="preserve">Critérios gerais de classificação </w:t>
      </w:r>
    </w:p>
    <w:p w14:paraId="56F607CD" w14:textId="77777777" w:rsidR="009123FF" w:rsidRDefault="008708E7">
      <w:pPr>
        <w:spacing w:before="240" w:after="0" w:line="360" w:lineRule="auto"/>
        <w:ind w:left="0" w:hanging="2"/>
        <w:jc w:val="both"/>
        <w:rPr>
          <w:rFonts w:ascii="Twentieth Century" w:eastAsia="Twentieth Century" w:hAnsi="Twentieth Century" w:cs="Twentieth Century"/>
        </w:rPr>
      </w:pPr>
      <w:r>
        <w:rPr>
          <w:rFonts w:ascii="Twentieth Century" w:eastAsia="Twentieth Century" w:hAnsi="Twentieth Century" w:cs="Twentieth Century"/>
        </w:rPr>
        <w:t>A classificação a atribuir a cada resposta resulta da aplicação dos critérios gerais e dos critérios específicos de classificação apresentados para cada item e é expressa por um número inteiro, previsto na grelha de classificação.</w:t>
      </w:r>
    </w:p>
    <w:p w14:paraId="37962568" w14:textId="77777777" w:rsidR="009123FF" w:rsidRDefault="008708E7">
      <w:pPr>
        <w:spacing w:before="240" w:after="0" w:line="360" w:lineRule="auto"/>
        <w:ind w:left="0" w:hanging="2"/>
        <w:jc w:val="both"/>
        <w:rPr>
          <w:rFonts w:ascii="Twentieth Century" w:eastAsia="Twentieth Century" w:hAnsi="Twentieth Century" w:cs="Twentieth Century"/>
        </w:rPr>
      </w:pPr>
      <w:r>
        <w:rPr>
          <w:rFonts w:ascii="Twentieth Century" w:eastAsia="Twentieth Century" w:hAnsi="Twentieth Century" w:cs="Twentieth Century"/>
        </w:rPr>
        <w:t>As respostas ilegíveis ou que não possam ser claramente identificadas são classificadas com zero pontos. No entanto, em caso de omissão ou de engano na identificação de uma resposta, esta pode ser classificada se for possível identificar inequivocamente o item a que diz respeito.</w:t>
      </w:r>
    </w:p>
    <w:p w14:paraId="1625C9C5" w14:textId="77777777" w:rsidR="009123FF" w:rsidRDefault="008708E7">
      <w:pPr>
        <w:spacing w:before="240" w:after="0" w:line="360" w:lineRule="auto"/>
        <w:ind w:left="0" w:hanging="2"/>
        <w:jc w:val="both"/>
        <w:rPr>
          <w:rFonts w:ascii="Twentieth Century" w:eastAsia="Twentieth Century" w:hAnsi="Twentieth Century" w:cs="Twentieth Century"/>
        </w:rPr>
      </w:pPr>
      <w:r>
        <w:rPr>
          <w:rFonts w:ascii="Twentieth Century" w:eastAsia="Twentieth Century" w:hAnsi="Twentieth Century" w:cs="Twentieth Century"/>
        </w:rPr>
        <w:t>Se o aluno responder a um mesmo item mais do que uma vez, não eliminando inequivocamente a(s) resposta(s) que não deseja que seja(m) classificada(s), deve ser considerada apenas a resposta que surgir em primeiro lugar.</w:t>
      </w:r>
    </w:p>
    <w:p w14:paraId="42BA4CE1" w14:textId="77777777" w:rsidR="009123FF" w:rsidRDefault="008708E7">
      <w:pPr>
        <w:spacing w:before="240" w:after="0" w:line="360" w:lineRule="auto"/>
        <w:ind w:left="0" w:hanging="2"/>
        <w:jc w:val="both"/>
        <w:rPr>
          <w:rFonts w:ascii="Twentieth Century" w:eastAsia="Twentieth Century" w:hAnsi="Twentieth Century" w:cs="Twentieth Century"/>
        </w:rPr>
      </w:pPr>
      <w:r>
        <w:rPr>
          <w:rFonts w:ascii="Twentieth Century" w:eastAsia="Twentieth Century" w:hAnsi="Twentieth Century" w:cs="Twentieth Century"/>
        </w:rPr>
        <w:t>No presente ano letivo, na classificação das provas, apenas será considerada correta a grafia que seguir o Acordo Ortográfico de 1990 (atualmente em vigor).</w:t>
      </w:r>
    </w:p>
    <w:p w14:paraId="00242411" w14:textId="77777777" w:rsidR="009123FF" w:rsidRDefault="008708E7">
      <w:pPr>
        <w:spacing w:before="240" w:after="0" w:line="360" w:lineRule="auto"/>
        <w:ind w:left="0" w:hanging="2"/>
        <w:jc w:val="both"/>
        <w:rPr>
          <w:rFonts w:ascii="Twentieth Century" w:eastAsia="Twentieth Century" w:hAnsi="Twentieth Century" w:cs="Twentieth Century"/>
        </w:rPr>
      </w:pPr>
      <w:r>
        <w:rPr>
          <w:rFonts w:ascii="Twentieth Century" w:eastAsia="Twentieth Century" w:hAnsi="Twentieth Century" w:cs="Twentieth Century"/>
        </w:rPr>
        <w:t>ITENS DE SELEÇÃO</w:t>
      </w:r>
    </w:p>
    <w:p w14:paraId="058848DE" w14:textId="77777777" w:rsidR="009123FF" w:rsidRDefault="008708E7">
      <w:pPr>
        <w:spacing w:after="0" w:line="360" w:lineRule="auto"/>
        <w:ind w:left="0" w:hanging="2"/>
        <w:jc w:val="both"/>
        <w:rPr>
          <w:rFonts w:ascii="Twentieth Century" w:eastAsia="Twentieth Century" w:hAnsi="Twentieth Century" w:cs="Twentieth Century"/>
          <w:u w:val="single"/>
        </w:rPr>
      </w:pPr>
      <w:r>
        <w:rPr>
          <w:rFonts w:ascii="Twentieth Century" w:eastAsia="Twentieth Century" w:hAnsi="Twentieth Century" w:cs="Twentieth Century"/>
          <w:u w:val="single"/>
        </w:rPr>
        <w:lastRenderedPageBreak/>
        <w:t>Escolha múltipla</w:t>
      </w:r>
    </w:p>
    <w:p w14:paraId="586011F7" w14:textId="77777777" w:rsidR="009123FF" w:rsidRDefault="008708E7">
      <w:pPr>
        <w:spacing w:after="0" w:line="360" w:lineRule="auto"/>
        <w:ind w:left="0" w:hanging="2"/>
        <w:jc w:val="both"/>
        <w:rPr>
          <w:rFonts w:ascii="Twentieth Century" w:eastAsia="Twentieth Century" w:hAnsi="Twentieth Century" w:cs="Twentieth Century"/>
        </w:rPr>
      </w:pPr>
      <w:r>
        <w:rPr>
          <w:rFonts w:ascii="Twentieth Century" w:eastAsia="Twentieth Century" w:hAnsi="Twentieth Century" w:cs="Twentieth Century"/>
        </w:rPr>
        <w:t>A cotação total do item só é atribuída às respostas que apresentem de forma inequívoca a única opção correta.</w:t>
      </w:r>
    </w:p>
    <w:p w14:paraId="789E041C" w14:textId="77777777" w:rsidR="009123FF" w:rsidRDefault="008708E7">
      <w:pPr>
        <w:spacing w:line="360" w:lineRule="auto"/>
        <w:ind w:left="0" w:hanging="2"/>
        <w:jc w:val="both"/>
        <w:rPr>
          <w:rFonts w:ascii="Twentieth Century" w:eastAsia="Twentieth Century" w:hAnsi="Twentieth Century" w:cs="Twentieth Century"/>
        </w:rPr>
      </w:pPr>
      <w:r>
        <w:rPr>
          <w:rFonts w:ascii="Twentieth Century" w:eastAsia="Twentieth Century" w:hAnsi="Twentieth Century" w:cs="Twentieth Century"/>
        </w:rPr>
        <w:t>São classificadas com zero pontos as respostas em que seja assinalada:</w:t>
      </w:r>
    </w:p>
    <w:p w14:paraId="611095E3" w14:textId="77777777" w:rsidR="009123FF" w:rsidRDefault="008708E7">
      <w:pPr>
        <w:spacing w:line="360" w:lineRule="auto"/>
        <w:ind w:left="0" w:hanging="2"/>
        <w:jc w:val="both"/>
        <w:rPr>
          <w:rFonts w:ascii="Twentieth Century" w:eastAsia="Twentieth Century" w:hAnsi="Twentieth Century" w:cs="Twentieth Century"/>
        </w:rPr>
      </w:pPr>
      <w:r>
        <w:rPr>
          <w:rFonts w:ascii="Twentieth Century" w:eastAsia="Twentieth Century" w:hAnsi="Twentieth Century" w:cs="Twentieth Century"/>
        </w:rPr>
        <w:t xml:space="preserve">- </w:t>
      </w:r>
      <w:proofErr w:type="gramStart"/>
      <w:r>
        <w:rPr>
          <w:rFonts w:ascii="Twentieth Century" w:eastAsia="Twentieth Century" w:hAnsi="Twentieth Century" w:cs="Twentieth Century"/>
        </w:rPr>
        <w:t>uma</w:t>
      </w:r>
      <w:proofErr w:type="gramEnd"/>
      <w:r>
        <w:rPr>
          <w:rFonts w:ascii="Twentieth Century" w:eastAsia="Twentieth Century" w:hAnsi="Twentieth Century" w:cs="Twentieth Century"/>
        </w:rPr>
        <w:t xml:space="preserve"> opção incorreta;</w:t>
      </w:r>
    </w:p>
    <w:p w14:paraId="54531F13" w14:textId="77777777" w:rsidR="009123FF" w:rsidRDefault="008708E7">
      <w:pPr>
        <w:spacing w:line="360" w:lineRule="auto"/>
        <w:ind w:left="0" w:hanging="2"/>
        <w:jc w:val="both"/>
        <w:rPr>
          <w:rFonts w:ascii="Twentieth Century" w:eastAsia="Twentieth Century" w:hAnsi="Twentieth Century" w:cs="Twentieth Century"/>
        </w:rPr>
      </w:pPr>
      <w:r>
        <w:rPr>
          <w:rFonts w:ascii="Twentieth Century" w:eastAsia="Twentieth Century" w:hAnsi="Twentieth Century" w:cs="Twentieth Century"/>
        </w:rPr>
        <w:t>- mais do que uma opção.</w:t>
      </w:r>
    </w:p>
    <w:p w14:paraId="13DBEE2D" w14:textId="77777777" w:rsidR="009123FF" w:rsidRDefault="008708E7">
      <w:pPr>
        <w:spacing w:line="360" w:lineRule="auto"/>
        <w:ind w:left="0" w:hanging="2"/>
        <w:jc w:val="both"/>
        <w:rPr>
          <w:rFonts w:ascii="Twentieth Century" w:eastAsia="Twentieth Century" w:hAnsi="Twentieth Century" w:cs="Twentieth Century"/>
        </w:rPr>
      </w:pPr>
      <w:r>
        <w:rPr>
          <w:rFonts w:ascii="Twentieth Century" w:eastAsia="Twentieth Century" w:hAnsi="Twentieth Century" w:cs="Twentieth Century"/>
        </w:rPr>
        <w:t>Não há lugar a classificações intermédias.</w:t>
      </w:r>
    </w:p>
    <w:p w14:paraId="774CF8C1" w14:textId="77777777" w:rsidR="009123FF" w:rsidRDefault="008708E7">
      <w:pPr>
        <w:spacing w:after="0" w:line="360" w:lineRule="auto"/>
        <w:ind w:left="0" w:hanging="2"/>
        <w:jc w:val="both"/>
        <w:rPr>
          <w:rFonts w:ascii="Twentieth Century" w:eastAsia="Twentieth Century" w:hAnsi="Twentieth Century" w:cs="Twentieth Century"/>
          <w:u w:val="single"/>
        </w:rPr>
      </w:pPr>
      <w:r>
        <w:rPr>
          <w:rFonts w:ascii="Twentieth Century" w:eastAsia="Twentieth Century" w:hAnsi="Twentieth Century" w:cs="Twentieth Century"/>
          <w:u w:val="single"/>
        </w:rPr>
        <w:t>Associação / Correspondência</w:t>
      </w:r>
    </w:p>
    <w:p w14:paraId="5EEFFE18" w14:textId="77777777" w:rsidR="009123FF" w:rsidRDefault="008708E7">
      <w:pPr>
        <w:spacing w:after="0" w:line="360" w:lineRule="auto"/>
        <w:ind w:left="0" w:hanging="2"/>
        <w:jc w:val="both"/>
        <w:rPr>
          <w:rFonts w:ascii="Twentieth Century" w:eastAsia="Twentieth Century" w:hAnsi="Twentieth Century" w:cs="Twentieth Century"/>
        </w:rPr>
      </w:pPr>
      <w:r>
        <w:rPr>
          <w:rFonts w:ascii="Twentieth Century" w:eastAsia="Twentieth Century" w:hAnsi="Twentieth Century" w:cs="Twentieth Century"/>
        </w:rPr>
        <w:t xml:space="preserve">A classificação é atribuída de acordo com o nível de desempenho. Considera-se incorreta qualquer associação/correspondência que relacione um elemento de um dado conjunto com mais do que um elemento do outro conjunto. </w:t>
      </w:r>
    </w:p>
    <w:p w14:paraId="37F3D3D5" w14:textId="77777777" w:rsidR="009123FF" w:rsidRDefault="009123FF">
      <w:pPr>
        <w:spacing w:after="0" w:line="360" w:lineRule="auto"/>
        <w:ind w:left="0" w:hanging="2"/>
        <w:jc w:val="both"/>
        <w:rPr>
          <w:rFonts w:ascii="Twentieth Century" w:eastAsia="Twentieth Century" w:hAnsi="Twentieth Century" w:cs="Twentieth Century"/>
        </w:rPr>
      </w:pPr>
    </w:p>
    <w:p w14:paraId="2012688C" w14:textId="77777777" w:rsidR="009123FF" w:rsidRDefault="008708E7">
      <w:pPr>
        <w:spacing w:after="0" w:line="360" w:lineRule="auto"/>
        <w:ind w:left="0" w:hanging="2"/>
        <w:jc w:val="both"/>
        <w:rPr>
          <w:rFonts w:ascii="Twentieth Century" w:eastAsia="Twentieth Century" w:hAnsi="Twentieth Century" w:cs="Twentieth Century"/>
        </w:rPr>
      </w:pPr>
      <w:r>
        <w:rPr>
          <w:rFonts w:ascii="Twentieth Century" w:eastAsia="Twentieth Century" w:hAnsi="Twentieth Century" w:cs="Twentieth Century"/>
        </w:rPr>
        <w:t>ITENS DE CONSTRUÇÃO</w:t>
      </w:r>
    </w:p>
    <w:p w14:paraId="7D419859" w14:textId="77777777" w:rsidR="009123FF" w:rsidRDefault="008708E7">
      <w:pPr>
        <w:spacing w:after="0" w:line="360" w:lineRule="auto"/>
        <w:ind w:left="0" w:hanging="2"/>
        <w:jc w:val="both"/>
        <w:rPr>
          <w:rFonts w:ascii="Twentieth Century" w:eastAsia="Twentieth Century" w:hAnsi="Twentieth Century" w:cs="Twentieth Century"/>
        </w:rPr>
      </w:pPr>
      <w:r>
        <w:rPr>
          <w:rFonts w:ascii="Twentieth Century" w:eastAsia="Twentieth Century" w:hAnsi="Twentieth Century" w:cs="Twentieth Century"/>
        </w:rPr>
        <w:t>Nos critérios de classificação organizados por níveis de desempenho, é atribuída, a cada um desses níveis, uma única pontuação. No caso de, ponderados todos os dados contidos nos descritores, permanecerem dúvidas quanto ao nível a atribuir, deve optar-se pelo nível mais elevado de entre os dois tidos em consideração.</w:t>
      </w:r>
    </w:p>
    <w:p w14:paraId="587E9833" w14:textId="77777777" w:rsidR="009123FF" w:rsidRDefault="008708E7">
      <w:pPr>
        <w:spacing w:before="240" w:after="0" w:line="360" w:lineRule="auto"/>
        <w:ind w:left="0" w:hanging="2"/>
        <w:jc w:val="both"/>
        <w:rPr>
          <w:rFonts w:ascii="Twentieth Century" w:eastAsia="Twentieth Century" w:hAnsi="Twentieth Century" w:cs="Twentieth Century"/>
        </w:rPr>
      </w:pPr>
      <w:r>
        <w:rPr>
          <w:rFonts w:ascii="Twentieth Century" w:eastAsia="Twentieth Century" w:hAnsi="Twentieth Century" w:cs="Twentieth Century"/>
        </w:rPr>
        <w:t>Se a resposta contiver dados que revelem contradição em relação aos elementos considerados corretos, ou se apresentar dados cuja irrelevância impossibilite a identificação objetiva dos elementos solicitados, é atribuída a classificação de zero pontos.</w:t>
      </w:r>
    </w:p>
    <w:p w14:paraId="0BA1BEC3" w14:textId="77777777" w:rsidR="009123FF" w:rsidRDefault="008708E7">
      <w:pPr>
        <w:spacing w:before="240" w:after="0" w:line="360" w:lineRule="auto"/>
        <w:ind w:left="0" w:hanging="2"/>
        <w:jc w:val="both"/>
        <w:rPr>
          <w:rFonts w:ascii="Twentieth Century" w:eastAsia="Twentieth Century" w:hAnsi="Twentieth Century" w:cs="Twentieth Century"/>
        </w:rPr>
      </w:pPr>
      <w:r>
        <w:rPr>
          <w:rFonts w:ascii="Twentieth Century" w:eastAsia="Twentieth Century" w:hAnsi="Twentieth Century" w:cs="Twentieth Century"/>
        </w:rPr>
        <w:t>As respostas classificadas por níveis de desempenho podem não apresentar exatamente os termos e/ou as expressões constantes dos critérios específicos de classificação, desde que o seu conteúdo seja cientificamente válido e adequado ao solicitado.</w:t>
      </w:r>
    </w:p>
    <w:p w14:paraId="571FF756" w14:textId="77777777" w:rsidR="009123FF" w:rsidRDefault="009123FF">
      <w:pPr>
        <w:spacing w:after="0" w:line="360" w:lineRule="auto"/>
        <w:ind w:left="0" w:hanging="2"/>
        <w:jc w:val="both"/>
        <w:rPr>
          <w:rFonts w:ascii="Twentieth Century" w:eastAsia="Twentieth Century" w:hAnsi="Twentieth Century" w:cs="Twentieth Century"/>
          <w:u w:val="single"/>
        </w:rPr>
      </w:pPr>
    </w:p>
    <w:p w14:paraId="00607670" w14:textId="77777777" w:rsidR="009123FF" w:rsidRDefault="008708E7">
      <w:pPr>
        <w:spacing w:after="0" w:line="360" w:lineRule="auto"/>
        <w:ind w:left="0" w:hanging="2"/>
        <w:jc w:val="both"/>
        <w:rPr>
          <w:rFonts w:ascii="Twentieth Century" w:eastAsia="Twentieth Century" w:hAnsi="Twentieth Century" w:cs="Twentieth Century"/>
          <w:u w:val="single"/>
        </w:rPr>
      </w:pPr>
      <w:r>
        <w:rPr>
          <w:rFonts w:ascii="Twentieth Century" w:eastAsia="Twentieth Century" w:hAnsi="Twentieth Century" w:cs="Twentieth Century"/>
          <w:u w:val="single"/>
        </w:rPr>
        <w:t>Resposta curta</w:t>
      </w:r>
    </w:p>
    <w:p w14:paraId="0FAC5226" w14:textId="77777777" w:rsidR="009123FF" w:rsidRDefault="008708E7">
      <w:pPr>
        <w:spacing w:after="0" w:line="360" w:lineRule="auto"/>
        <w:ind w:left="0" w:hanging="2"/>
        <w:jc w:val="both"/>
        <w:rPr>
          <w:rFonts w:ascii="Twentieth Century" w:eastAsia="Twentieth Century" w:hAnsi="Twentieth Century" w:cs="Twentieth Century"/>
        </w:rPr>
      </w:pPr>
      <w:r>
        <w:rPr>
          <w:rFonts w:ascii="Twentieth Century" w:eastAsia="Twentieth Century" w:hAnsi="Twentieth Century" w:cs="Twentieth Century"/>
        </w:rPr>
        <w:t>As respostas corretas são classificadas com a cotação total do item. As respostas incorretas são classificadas com a cotação de zero pontos. Não há lugar a classificações intermédias.</w:t>
      </w:r>
    </w:p>
    <w:p w14:paraId="60D83CC4" w14:textId="77777777" w:rsidR="009123FF" w:rsidRDefault="009123FF">
      <w:pPr>
        <w:spacing w:after="0" w:line="360" w:lineRule="auto"/>
        <w:ind w:left="0" w:hanging="2"/>
        <w:jc w:val="both"/>
        <w:rPr>
          <w:rFonts w:ascii="Twentieth Century" w:eastAsia="Twentieth Century" w:hAnsi="Twentieth Century" w:cs="Twentieth Century"/>
          <w:u w:val="single"/>
        </w:rPr>
      </w:pPr>
    </w:p>
    <w:p w14:paraId="62A025EA" w14:textId="77777777" w:rsidR="009123FF" w:rsidRDefault="008708E7">
      <w:pPr>
        <w:spacing w:after="0" w:line="360" w:lineRule="auto"/>
        <w:ind w:left="0" w:hanging="2"/>
        <w:jc w:val="both"/>
        <w:rPr>
          <w:rFonts w:ascii="Twentieth Century" w:eastAsia="Twentieth Century" w:hAnsi="Twentieth Century" w:cs="Twentieth Century"/>
          <w:u w:val="single"/>
        </w:rPr>
      </w:pPr>
      <w:r>
        <w:rPr>
          <w:rFonts w:ascii="Twentieth Century" w:eastAsia="Twentieth Century" w:hAnsi="Twentieth Century" w:cs="Twentieth Century"/>
          <w:u w:val="single"/>
        </w:rPr>
        <w:t>Resposta restrita</w:t>
      </w:r>
    </w:p>
    <w:p w14:paraId="34DB77F2" w14:textId="77777777" w:rsidR="009123FF" w:rsidRDefault="008708E7">
      <w:pPr>
        <w:spacing w:after="0" w:line="360" w:lineRule="auto"/>
        <w:ind w:left="0" w:hanging="2"/>
        <w:jc w:val="both"/>
        <w:rPr>
          <w:rFonts w:ascii="Twentieth Century" w:eastAsia="Twentieth Century" w:hAnsi="Twentieth Century" w:cs="Twentieth Century"/>
        </w:rPr>
      </w:pPr>
      <w:r>
        <w:rPr>
          <w:rFonts w:ascii="Twentieth Century" w:eastAsia="Twentieth Century" w:hAnsi="Twentieth Century" w:cs="Twentieth Century"/>
        </w:rPr>
        <w:t>Os critérios de classificação das respostas aos itens de resposta restrita apresentam-se organizados por níveis de desempenho. A cada nível de desempenho corresponde uma dada pontuação. É classificada com zero pontos qualquer resposta que não atinja o nível 1 de desempenho domínio específico da disciplina.</w:t>
      </w:r>
    </w:p>
    <w:p w14:paraId="62955501" w14:textId="77777777" w:rsidR="009123FF" w:rsidRDefault="008708E7">
      <w:pPr>
        <w:spacing w:before="240" w:after="0" w:line="360" w:lineRule="auto"/>
        <w:ind w:left="0" w:hanging="2"/>
        <w:jc w:val="both"/>
        <w:rPr>
          <w:rFonts w:ascii="Twentieth Century" w:eastAsia="Twentieth Century" w:hAnsi="Twentieth Century" w:cs="Twentieth Century"/>
        </w:rPr>
      </w:pPr>
      <w:r>
        <w:rPr>
          <w:rFonts w:ascii="Twentieth Century" w:eastAsia="Twentieth Century" w:hAnsi="Twentieth Century" w:cs="Twentieth Century"/>
        </w:rPr>
        <w:t xml:space="preserve">Nos itens de resposta restrita, a classificação a atribuir traduz a avaliação simultânea do desempenho no domínio específico da disciplina e no domínio específico da comunicação escrita em língua portuguesa. A </w:t>
      </w:r>
      <w:r>
        <w:rPr>
          <w:rFonts w:ascii="Twentieth Century" w:eastAsia="Twentieth Century" w:hAnsi="Twentieth Century" w:cs="Twentieth Century"/>
        </w:rPr>
        <w:lastRenderedPageBreak/>
        <w:t>avaliação do domínio da comunicação escrita em língua portuguesa faz-se de acordo com os níveis de desempenho a seguir descritos.</w:t>
      </w:r>
    </w:p>
    <w:p w14:paraId="15EAFC41" w14:textId="77777777" w:rsidR="009123FF" w:rsidRDefault="008708E7">
      <w:pPr>
        <w:spacing w:before="240" w:after="0" w:line="360" w:lineRule="auto"/>
        <w:ind w:left="0" w:hanging="2"/>
        <w:jc w:val="center"/>
        <w:rPr>
          <w:rFonts w:ascii="Twentieth Century" w:eastAsia="Twentieth Century" w:hAnsi="Twentieth Century" w:cs="Twentieth Century"/>
          <w:b/>
        </w:rPr>
      </w:pPr>
      <w:r>
        <w:rPr>
          <w:rFonts w:ascii="Twentieth Century" w:eastAsia="Twentieth Century" w:hAnsi="Twentieth Century" w:cs="Twentieth Century"/>
          <w:b/>
        </w:rPr>
        <w:t>Quadro 2– Descritores do domínio da comunicação escrita</w:t>
      </w:r>
    </w:p>
    <w:tbl>
      <w:tblPr>
        <w:tblStyle w:val="a2"/>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8080"/>
      </w:tblGrid>
      <w:tr w:rsidR="009123FF" w14:paraId="782D5AF6" w14:textId="77777777">
        <w:trPr>
          <w:trHeight w:val="341"/>
        </w:trPr>
        <w:tc>
          <w:tcPr>
            <w:tcW w:w="992" w:type="dxa"/>
            <w:shd w:val="clear" w:color="auto" w:fill="D9D9D9"/>
            <w:vAlign w:val="center"/>
          </w:tcPr>
          <w:p w14:paraId="72DC0AE0" w14:textId="77777777" w:rsidR="009123FF" w:rsidRDefault="008708E7">
            <w:pPr>
              <w:spacing w:after="0" w:line="360" w:lineRule="auto"/>
              <w:ind w:left="0" w:hanging="2"/>
              <w:jc w:val="both"/>
              <w:rPr>
                <w:rFonts w:ascii="Arial" w:eastAsia="Arial" w:hAnsi="Arial" w:cs="Arial"/>
                <w:b/>
                <w:sz w:val="20"/>
                <w:szCs w:val="20"/>
              </w:rPr>
            </w:pPr>
            <w:r>
              <w:rPr>
                <w:rFonts w:ascii="Arial" w:eastAsia="Arial" w:hAnsi="Arial" w:cs="Arial"/>
                <w:b/>
                <w:sz w:val="20"/>
                <w:szCs w:val="20"/>
              </w:rPr>
              <w:t>Níveis</w:t>
            </w:r>
          </w:p>
        </w:tc>
        <w:tc>
          <w:tcPr>
            <w:tcW w:w="8080" w:type="dxa"/>
            <w:shd w:val="clear" w:color="auto" w:fill="D9D9D9"/>
            <w:vAlign w:val="center"/>
          </w:tcPr>
          <w:p w14:paraId="7E9A153A" w14:textId="77777777" w:rsidR="009123FF" w:rsidRDefault="008708E7">
            <w:pPr>
              <w:spacing w:after="0" w:line="360" w:lineRule="auto"/>
              <w:ind w:left="0" w:hanging="2"/>
              <w:jc w:val="center"/>
              <w:rPr>
                <w:rFonts w:ascii="Arial" w:eastAsia="Arial" w:hAnsi="Arial" w:cs="Arial"/>
                <w:b/>
                <w:sz w:val="20"/>
                <w:szCs w:val="20"/>
              </w:rPr>
            </w:pPr>
            <w:r>
              <w:rPr>
                <w:rFonts w:ascii="Arial" w:eastAsia="Arial" w:hAnsi="Arial" w:cs="Arial"/>
                <w:b/>
                <w:sz w:val="20"/>
                <w:szCs w:val="20"/>
              </w:rPr>
              <w:t>Descritores</w:t>
            </w:r>
          </w:p>
        </w:tc>
      </w:tr>
      <w:tr w:rsidR="009123FF" w14:paraId="67A5D49D" w14:textId="77777777">
        <w:trPr>
          <w:trHeight w:val="886"/>
        </w:trPr>
        <w:tc>
          <w:tcPr>
            <w:tcW w:w="992" w:type="dxa"/>
            <w:shd w:val="clear" w:color="auto" w:fill="auto"/>
            <w:vAlign w:val="center"/>
          </w:tcPr>
          <w:p w14:paraId="7F078A2C" w14:textId="77777777" w:rsidR="009123FF" w:rsidRDefault="008708E7">
            <w:pPr>
              <w:spacing w:after="0" w:line="360" w:lineRule="auto"/>
              <w:ind w:left="0" w:hanging="2"/>
              <w:jc w:val="center"/>
              <w:rPr>
                <w:rFonts w:ascii="Twentieth Century" w:eastAsia="Twentieth Century" w:hAnsi="Twentieth Century" w:cs="Twentieth Century"/>
                <w:b/>
              </w:rPr>
            </w:pPr>
            <w:r>
              <w:rPr>
                <w:rFonts w:ascii="Twentieth Century" w:eastAsia="Twentieth Century" w:hAnsi="Twentieth Century" w:cs="Twentieth Century"/>
                <w:b/>
              </w:rPr>
              <w:t>2</w:t>
            </w:r>
          </w:p>
          <w:p w14:paraId="5F4CAF19" w14:textId="77777777" w:rsidR="009123FF" w:rsidRDefault="009123FF">
            <w:pPr>
              <w:spacing w:after="0" w:line="360" w:lineRule="auto"/>
              <w:ind w:left="0" w:hanging="2"/>
              <w:jc w:val="center"/>
              <w:rPr>
                <w:rFonts w:ascii="Twentieth Century" w:eastAsia="Twentieth Century" w:hAnsi="Twentieth Century" w:cs="Twentieth Century"/>
                <w:b/>
              </w:rPr>
            </w:pPr>
          </w:p>
        </w:tc>
        <w:tc>
          <w:tcPr>
            <w:tcW w:w="8080" w:type="dxa"/>
            <w:shd w:val="clear" w:color="auto" w:fill="auto"/>
          </w:tcPr>
          <w:p w14:paraId="1BE62854" w14:textId="77777777" w:rsidR="009123FF" w:rsidRDefault="008708E7">
            <w:pPr>
              <w:spacing w:after="0" w:line="360" w:lineRule="auto"/>
              <w:ind w:left="0" w:hanging="2"/>
              <w:jc w:val="both"/>
              <w:rPr>
                <w:rFonts w:ascii="Twentieth Century" w:eastAsia="Twentieth Century" w:hAnsi="Twentieth Century" w:cs="Twentieth Century"/>
              </w:rPr>
            </w:pPr>
            <w:r>
              <w:rPr>
                <w:rFonts w:ascii="Twentieth Century" w:eastAsia="Twentieth Century" w:hAnsi="Twentieth Century" w:cs="Twentieth Century"/>
              </w:rPr>
              <w:t>Texto bem estruturado, sem erros de sintaxe, de pontuação e/ou de ortografia, ou com erros esporádicos, cuja gravidade não implique perda de inteligibilidade e/ou de sentido.</w:t>
            </w:r>
          </w:p>
        </w:tc>
      </w:tr>
      <w:tr w:rsidR="009123FF" w14:paraId="36B50AE1" w14:textId="77777777">
        <w:trPr>
          <w:trHeight w:val="1568"/>
        </w:trPr>
        <w:tc>
          <w:tcPr>
            <w:tcW w:w="992" w:type="dxa"/>
            <w:shd w:val="clear" w:color="auto" w:fill="auto"/>
            <w:vAlign w:val="center"/>
          </w:tcPr>
          <w:p w14:paraId="5FDA6A6B" w14:textId="77777777" w:rsidR="009123FF" w:rsidRDefault="008708E7">
            <w:pPr>
              <w:spacing w:after="0" w:line="360" w:lineRule="auto"/>
              <w:ind w:left="0" w:hanging="2"/>
              <w:jc w:val="center"/>
              <w:rPr>
                <w:rFonts w:ascii="Twentieth Century" w:eastAsia="Twentieth Century" w:hAnsi="Twentieth Century" w:cs="Twentieth Century"/>
                <w:b/>
              </w:rPr>
            </w:pPr>
            <w:r>
              <w:rPr>
                <w:rFonts w:ascii="Twentieth Century" w:eastAsia="Twentieth Century" w:hAnsi="Twentieth Century" w:cs="Twentieth Century"/>
                <w:b/>
              </w:rPr>
              <w:t>1</w:t>
            </w:r>
          </w:p>
          <w:p w14:paraId="59316D7A" w14:textId="77777777" w:rsidR="009123FF" w:rsidRDefault="009123FF">
            <w:pPr>
              <w:spacing w:after="0" w:line="360" w:lineRule="auto"/>
              <w:ind w:left="0" w:hanging="2"/>
              <w:jc w:val="center"/>
              <w:rPr>
                <w:rFonts w:ascii="Twentieth Century" w:eastAsia="Twentieth Century" w:hAnsi="Twentieth Century" w:cs="Twentieth Century"/>
                <w:b/>
              </w:rPr>
            </w:pPr>
          </w:p>
        </w:tc>
        <w:tc>
          <w:tcPr>
            <w:tcW w:w="8080" w:type="dxa"/>
            <w:shd w:val="clear" w:color="auto" w:fill="auto"/>
          </w:tcPr>
          <w:p w14:paraId="5841BCA8" w14:textId="77777777" w:rsidR="009123FF" w:rsidRDefault="008708E7">
            <w:pPr>
              <w:spacing w:after="0" w:line="360" w:lineRule="auto"/>
              <w:ind w:left="0" w:hanging="2"/>
              <w:jc w:val="both"/>
              <w:rPr>
                <w:rFonts w:ascii="Twentieth Century" w:eastAsia="Twentieth Century" w:hAnsi="Twentieth Century" w:cs="Twentieth Century"/>
              </w:rPr>
            </w:pPr>
            <w:r>
              <w:rPr>
                <w:rFonts w:ascii="Twentieth Century" w:eastAsia="Twentieth Century" w:hAnsi="Twentieth Century" w:cs="Twentieth Century"/>
              </w:rPr>
              <w:t>Texto com problemas de estrutura, com erros de sintaxe, de pontuação e/ou de ortografia, cuja gravidade implique perda de alguma inteligibilidade e/ou de sentido.</w:t>
            </w:r>
          </w:p>
          <w:p w14:paraId="6CEF62FA" w14:textId="77777777" w:rsidR="009123FF" w:rsidRDefault="008708E7">
            <w:pPr>
              <w:spacing w:after="0" w:line="360" w:lineRule="auto"/>
              <w:ind w:left="0" w:hanging="2"/>
              <w:jc w:val="both"/>
              <w:rPr>
                <w:rFonts w:ascii="Twentieth Century" w:eastAsia="Twentieth Century" w:hAnsi="Twentieth Century" w:cs="Twentieth Century"/>
              </w:rPr>
            </w:pPr>
            <w:r>
              <w:rPr>
                <w:rFonts w:ascii="Twentieth Century" w:eastAsia="Twentieth Century" w:hAnsi="Twentieth Century" w:cs="Twentieth Century"/>
              </w:rPr>
              <w:t>No caso de a resposta não atingir o nível 1 de desempenho no domínio específico da disciplina, não é classificado o domínio da comunicação escrita em língua portuguesa.</w:t>
            </w:r>
          </w:p>
        </w:tc>
      </w:tr>
    </w:tbl>
    <w:p w14:paraId="5A6F2F88" w14:textId="77777777" w:rsidR="009123FF" w:rsidRDefault="008708E7">
      <w:pPr>
        <w:spacing w:before="240" w:after="0" w:line="360" w:lineRule="auto"/>
        <w:ind w:left="0" w:hanging="2"/>
        <w:jc w:val="both"/>
        <w:rPr>
          <w:rFonts w:ascii="Twentieth Century" w:eastAsia="Twentieth Century" w:hAnsi="Twentieth Century" w:cs="Twentieth Century"/>
          <w:b/>
        </w:rPr>
      </w:pPr>
      <w:r>
        <w:rPr>
          <w:rFonts w:ascii="Twentieth Century" w:eastAsia="Twentieth Century" w:hAnsi="Twentieth Century" w:cs="Twentieth Century"/>
          <w:b/>
        </w:rPr>
        <w:t xml:space="preserve">Material </w:t>
      </w:r>
    </w:p>
    <w:p w14:paraId="767F4D6B" w14:textId="77777777" w:rsidR="009123FF" w:rsidRDefault="008708E7">
      <w:pPr>
        <w:spacing w:after="0" w:line="360" w:lineRule="auto"/>
        <w:ind w:left="0" w:hanging="2"/>
        <w:jc w:val="both"/>
        <w:rPr>
          <w:rFonts w:ascii="Twentieth Century" w:eastAsia="Twentieth Century" w:hAnsi="Twentieth Century" w:cs="Twentieth Century"/>
        </w:rPr>
      </w:pPr>
      <w:r>
        <w:rPr>
          <w:rFonts w:ascii="Twentieth Century" w:eastAsia="Twentieth Century" w:hAnsi="Twentieth Century" w:cs="Twentieth Century"/>
        </w:rPr>
        <w:t xml:space="preserve">O examinando apenas pode usar, como material de escrita, caneta ou esferográfica de tinta indelével, azul ou preta. </w:t>
      </w:r>
    </w:p>
    <w:p w14:paraId="0CC9F9FC" w14:textId="77777777" w:rsidR="009123FF" w:rsidRDefault="008708E7">
      <w:pPr>
        <w:spacing w:after="0" w:line="360" w:lineRule="auto"/>
        <w:ind w:left="0" w:hanging="2"/>
        <w:jc w:val="both"/>
        <w:rPr>
          <w:rFonts w:ascii="Twentieth Century" w:eastAsia="Twentieth Century" w:hAnsi="Twentieth Century" w:cs="Twentieth Century"/>
        </w:rPr>
      </w:pPr>
      <w:r>
        <w:rPr>
          <w:rFonts w:ascii="Twentieth Century" w:eastAsia="Twentieth Century" w:hAnsi="Twentieth Century" w:cs="Twentieth Century"/>
        </w:rPr>
        <w:t>Não é permitido o uso de corretor.</w:t>
      </w:r>
    </w:p>
    <w:p w14:paraId="3B87F29E" w14:textId="77777777" w:rsidR="009123FF" w:rsidRDefault="009123FF">
      <w:pPr>
        <w:spacing w:after="0" w:line="360" w:lineRule="auto"/>
        <w:ind w:left="0" w:hanging="2"/>
        <w:jc w:val="both"/>
        <w:rPr>
          <w:rFonts w:ascii="Twentieth Century" w:eastAsia="Twentieth Century" w:hAnsi="Twentieth Century" w:cs="Twentieth Century"/>
          <w:b/>
        </w:rPr>
      </w:pPr>
    </w:p>
    <w:p w14:paraId="69736878" w14:textId="77777777" w:rsidR="009123FF" w:rsidRDefault="008708E7">
      <w:pPr>
        <w:spacing w:after="0" w:line="360" w:lineRule="auto"/>
        <w:ind w:left="0" w:hanging="2"/>
        <w:jc w:val="both"/>
        <w:rPr>
          <w:rFonts w:ascii="Twentieth Century" w:eastAsia="Twentieth Century" w:hAnsi="Twentieth Century" w:cs="Twentieth Century"/>
        </w:rPr>
      </w:pPr>
      <w:r>
        <w:rPr>
          <w:rFonts w:ascii="Twentieth Century" w:eastAsia="Twentieth Century" w:hAnsi="Twentieth Century" w:cs="Twentieth Century"/>
          <w:b/>
        </w:rPr>
        <w:t>Duração</w:t>
      </w:r>
    </w:p>
    <w:p w14:paraId="0B7BB1F7" w14:textId="77777777" w:rsidR="009123FF" w:rsidRDefault="008708E7">
      <w:pPr>
        <w:spacing w:after="0" w:line="360" w:lineRule="auto"/>
        <w:ind w:left="0" w:hanging="2"/>
        <w:jc w:val="both"/>
        <w:rPr>
          <w:rFonts w:ascii="Twentieth Century" w:eastAsia="Twentieth Century" w:hAnsi="Twentieth Century" w:cs="Twentieth Century"/>
        </w:rPr>
      </w:pPr>
      <w:r>
        <w:rPr>
          <w:rFonts w:ascii="Twentieth Century" w:eastAsia="Twentieth Century" w:hAnsi="Twentieth Century" w:cs="Twentieth Century"/>
        </w:rPr>
        <w:t>A prova tem a duração de 90 minutos, não podendo a sua aplicação ultrapassar este limite de tempo.</w:t>
      </w:r>
    </w:p>
    <w:p w14:paraId="23671990" w14:textId="77777777" w:rsidR="009123FF" w:rsidRDefault="009123FF">
      <w:pPr>
        <w:spacing w:after="0" w:line="360" w:lineRule="auto"/>
        <w:ind w:left="0" w:right="422" w:hanging="2"/>
        <w:jc w:val="both"/>
        <w:rPr>
          <w:rFonts w:ascii="Twentieth Century" w:eastAsia="Twentieth Century" w:hAnsi="Twentieth Century" w:cs="Twentieth Century"/>
          <w:color w:val="000000"/>
        </w:rPr>
      </w:pPr>
    </w:p>
    <w:p w14:paraId="454C7211" w14:textId="77777777" w:rsidR="009123FF" w:rsidRDefault="009123FF">
      <w:pPr>
        <w:spacing w:after="0" w:line="360" w:lineRule="auto"/>
        <w:ind w:left="0" w:hanging="2"/>
        <w:jc w:val="both"/>
        <w:rPr>
          <w:rFonts w:ascii="Twentieth Century" w:eastAsia="Twentieth Century" w:hAnsi="Twentieth Century" w:cs="Twentieth Century"/>
          <w:b/>
          <w:u w:val="single"/>
        </w:rPr>
      </w:pPr>
    </w:p>
    <w:p w14:paraId="20C0DE54" w14:textId="77777777" w:rsidR="009123FF" w:rsidRDefault="009123FF">
      <w:pPr>
        <w:spacing w:after="0" w:line="360" w:lineRule="auto"/>
        <w:ind w:left="0" w:hanging="2"/>
        <w:jc w:val="both"/>
        <w:rPr>
          <w:rFonts w:ascii="Twentieth Century" w:eastAsia="Twentieth Century" w:hAnsi="Twentieth Century" w:cs="Twentieth Century"/>
          <w:color w:val="000000"/>
        </w:rPr>
      </w:pPr>
    </w:p>
    <w:sectPr w:rsidR="009123FF">
      <w:headerReference w:type="default" r:id="rId13"/>
      <w:footerReference w:type="default" r:id="rId14"/>
      <w:pgSz w:w="11900" w:h="16840"/>
      <w:pgMar w:top="567" w:right="985" w:bottom="567" w:left="1134" w:header="283"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5AB5E" w14:textId="77777777" w:rsidR="00161793" w:rsidRDefault="00161793">
      <w:pPr>
        <w:spacing w:after="0" w:line="240" w:lineRule="auto"/>
        <w:ind w:left="0" w:hanging="2"/>
      </w:pPr>
      <w:r>
        <w:separator/>
      </w:r>
    </w:p>
  </w:endnote>
  <w:endnote w:type="continuationSeparator" w:id="0">
    <w:p w14:paraId="12BE5A53" w14:textId="77777777" w:rsidR="00161793" w:rsidRDefault="0016179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wentieth Century">
    <w:altName w:val="Calibri"/>
    <w:charset w:val="00"/>
    <w:family w:val="auto"/>
    <w:pitch w:val="default"/>
  </w:font>
  <w:font w:name="Tw Cen MT">
    <w:panose1 w:val="020B0602020104020603"/>
    <w:charset w:val="00"/>
    <w:family w:val="swiss"/>
    <w:pitch w:val="variable"/>
    <w:sig w:usb0="00000007" w:usb1="00000000" w:usb2="00000000" w:usb3="00000000" w:csb0="00000003" w:csb1="00000000"/>
  </w:font>
  <w:font w:name="TrebuchetM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7FD6" w14:textId="77777777" w:rsidR="009123FF" w:rsidRDefault="008708E7">
    <w:pPr>
      <w:tabs>
        <w:tab w:val="center" w:pos="4550"/>
        <w:tab w:val="left" w:pos="5818"/>
      </w:tabs>
      <w:ind w:left="0" w:right="260" w:hanging="2"/>
      <w:jc w:val="right"/>
      <w:rPr>
        <w:color w:val="222A35"/>
      </w:rPr>
    </w:pPr>
    <w:r>
      <w:rPr>
        <w:color w:val="8496B0"/>
      </w:rPr>
      <w:t xml:space="preserve">Página </w:t>
    </w:r>
    <w:r>
      <w:rPr>
        <w:color w:val="323E4F"/>
      </w:rPr>
      <w:fldChar w:fldCharType="begin"/>
    </w:r>
    <w:r>
      <w:rPr>
        <w:color w:val="323E4F"/>
      </w:rPr>
      <w:instrText>PAGE</w:instrText>
    </w:r>
    <w:r>
      <w:rPr>
        <w:color w:val="323E4F"/>
      </w:rPr>
      <w:fldChar w:fldCharType="separate"/>
    </w:r>
    <w:r w:rsidR="007965F9">
      <w:rPr>
        <w:noProof/>
        <w:color w:val="323E4F"/>
      </w:rPr>
      <w:t>1</w:t>
    </w:r>
    <w:r>
      <w:rPr>
        <w:color w:val="323E4F"/>
      </w:rPr>
      <w:fldChar w:fldCharType="end"/>
    </w:r>
    <w:r>
      <w:rPr>
        <w:color w:val="323E4F"/>
      </w:rPr>
      <w:t xml:space="preserve"> | </w:t>
    </w:r>
    <w:r>
      <w:rPr>
        <w:color w:val="323E4F"/>
      </w:rPr>
      <w:fldChar w:fldCharType="begin"/>
    </w:r>
    <w:r>
      <w:rPr>
        <w:color w:val="323E4F"/>
      </w:rPr>
      <w:instrText>NUMPAGES</w:instrText>
    </w:r>
    <w:r>
      <w:rPr>
        <w:color w:val="323E4F"/>
      </w:rPr>
      <w:fldChar w:fldCharType="separate"/>
    </w:r>
    <w:r w:rsidR="007965F9">
      <w:rPr>
        <w:noProof/>
        <w:color w:val="323E4F"/>
      </w:rPr>
      <w:t>2</w:t>
    </w:r>
    <w:r>
      <w:rPr>
        <w:color w:val="323E4F"/>
      </w:rPr>
      <w:fldChar w:fldCharType="end"/>
    </w:r>
  </w:p>
  <w:p w14:paraId="3F14E3B9" w14:textId="77777777" w:rsidR="009123FF" w:rsidRDefault="009123FF">
    <w:pPr>
      <w:pBdr>
        <w:top w:val="nil"/>
        <w:left w:val="nil"/>
        <w:bottom w:val="nil"/>
        <w:right w:val="nil"/>
        <w:between w:val="nil"/>
      </w:pBdr>
      <w:tabs>
        <w:tab w:val="center" w:pos="4252"/>
        <w:tab w:val="right" w:pos="8504"/>
        <w:tab w:val="center" w:pos="4394"/>
        <w:tab w:val="right" w:pos="8789"/>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4001E" w14:textId="77777777" w:rsidR="00161793" w:rsidRDefault="00161793">
      <w:pPr>
        <w:spacing w:after="0" w:line="240" w:lineRule="auto"/>
        <w:ind w:left="0" w:hanging="2"/>
      </w:pPr>
      <w:r>
        <w:separator/>
      </w:r>
    </w:p>
  </w:footnote>
  <w:footnote w:type="continuationSeparator" w:id="0">
    <w:p w14:paraId="660727A7" w14:textId="77777777" w:rsidR="00161793" w:rsidRDefault="0016179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30AE" w14:textId="77777777" w:rsidR="009123FF" w:rsidRDefault="009123FF">
    <w:pPr>
      <w:pBdr>
        <w:top w:val="nil"/>
        <w:left w:val="nil"/>
        <w:bottom w:val="nil"/>
        <w:right w:val="nil"/>
        <w:between w:val="nil"/>
      </w:pBdr>
      <w:tabs>
        <w:tab w:val="center" w:pos="4252"/>
        <w:tab w:val="right" w:pos="8504"/>
      </w:tabs>
      <w:ind w:left="0" w:hanging="2"/>
      <w:jc w:val="right"/>
      <w:rPr>
        <w:rFonts w:ascii="Twentieth Century" w:eastAsia="Twentieth Century" w:hAnsi="Twentieth Century" w:cs="Twentieth Century"/>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3FA6"/>
    <w:multiLevelType w:val="multilevel"/>
    <w:tmpl w:val="1564F6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EBE2EBC"/>
    <w:multiLevelType w:val="multilevel"/>
    <w:tmpl w:val="27E2778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286F640B"/>
    <w:multiLevelType w:val="multilevel"/>
    <w:tmpl w:val="86A4B0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16F44A1"/>
    <w:multiLevelType w:val="multilevel"/>
    <w:tmpl w:val="366672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98E72EB"/>
    <w:multiLevelType w:val="multilevel"/>
    <w:tmpl w:val="D25EE4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70430F71"/>
    <w:multiLevelType w:val="multilevel"/>
    <w:tmpl w:val="39F49B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2700C61"/>
    <w:multiLevelType w:val="multilevel"/>
    <w:tmpl w:val="4B648D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401565420">
    <w:abstractNumId w:val="0"/>
  </w:num>
  <w:num w:numId="2" w16cid:durableId="1165583489">
    <w:abstractNumId w:val="2"/>
  </w:num>
  <w:num w:numId="3" w16cid:durableId="939217103">
    <w:abstractNumId w:val="5"/>
  </w:num>
  <w:num w:numId="4" w16cid:durableId="178664003">
    <w:abstractNumId w:val="6"/>
  </w:num>
  <w:num w:numId="5" w16cid:durableId="502552076">
    <w:abstractNumId w:val="4"/>
  </w:num>
  <w:num w:numId="6" w16cid:durableId="1492478460">
    <w:abstractNumId w:val="1"/>
  </w:num>
  <w:num w:numId="7" w16cid:durableId="1425107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3FF"/>
    <w:rsid w:val="00161793"/>
    <w:rsid w:val="00397CE5"/>
    <w:rsid w:val="006D2A91"/>
    <w:rsid w:val="00715FC5"/>
    <w:rsid w:val="007965F9"/>
    <w:rsid w:val="007A1C59"/>
    <w:rsid w:val="008708E7"/>
    <w:rsid w:val="00873677"/>
    <w:rsid w:val="009123F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1F246"/>
  <w15:docId w15:val="{B8E1482C-A0A7-4E2B-B3F9-D8468B7F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PT" w:eastAsia="pt-PT"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Ttulo1">
    <w:name w:val="heading 1"/>
    <w:basedOn w:val="Normal"/>
    <w:next w:val="Normal"/>
    <w:uiPriority w:val="9"/>
    <w:qFormat/>
    <w:pPr>
      <w:keepNext/>
      <w:spacing w:after="0" w:line="240" w:lineRule="auto"/>
      <w:jc w:val="center"/>
    </w:pPr>
    <w:rPr>
      <w:rFonts w:ascii="Times New Roman" w:hAnsi="Times New Roman"/>
      <w:b/>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odebalo">
    <w:name w:val="Balloon Text"/>
    <w:basedOn w:val="Normal"/>
    <w:qFormat/>
    <w:pPr>
      <w:spacing w:after="0" w:line="240" w:lineRule="auto"/>
    </w:pPr>
    <w:rPr>
      <w:rFonts w:ascii="Tahoma" w:hAnsi="Tahoma"/>
      <w:sz w:val="16"/>
      <w:szCs w:val="16"/>
    </w:rPr>
  </w:style>
  <w:style w:type="character" w:customStyle="1" w:styleId="TextodebaloCarcter">
    <w:name w:val="Texto de balão Carácter"/>
    <w:rPr>
      <w:rFonts w:ascii="Tahoma" w:hAnsi="Tahoma" w:cs="Tahoma"/>
      <w:w w:val="100"/>
      <w:position w:val="-1"/>
      <w:sz w:val="16"/>
      <w:szCs w:val="16"/>
      <w:effect w:val="none"/>
      <w:vertAlign w:val="baseline"/>
      <w:cs w:val="0"/>
      <w:em w:val="none"/>
    </w:rPr>
  </w:style>
  <w:style w:type="paragraph" w:styleId="PargrafodaLista">
    <w:name w:val="List Paragraph"/>
    <w:basedOn w:val="Normal"/>
    <w:pPr>
      <w:ind w:left="720"/>
      <w:contextualSpacing/>
    </w:p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pPr>
      <w:spacing w:line="240" w:lineRule="auto"/>
    </w:pPr>
    <w:rPr>
      <w:sz w:val="20"/>
      <w:szCs w:val="20"/>
    </w:rPr>
  </w:style>
  <w:style w:type="character" w:customStyle="1" w:styleId="TextodecomentrioCarcter">
    <w:name w:val="Texto de comentário Carácter"/>
    <w:rPr>
      <w:w w:val="100"/>
      <w:position w:val="-1"/>
      <w:sz w:val="20"/>
      <w:szCs w:val="20"/>
      <w:effect w:val="none"/>
      <w:vertAlign w:val="baseline"/>
      <w:cs w:val="0"/>
      <w:em w:val="none"/>
    </w:rPr>
  </w:style>
  <w:style w:type="paragraph" w:styleId="Assuntodecomentrio">
    <w:name w:val="annotation subject"/>
    <w:basedOn w:val="Textodecomentrio"/>
    <w:next w:val="Textodecomentrio"/>
    <w:qFormat/>
    <w:rPr>
      <w:b/>
      <w:bCs/>
    </w:rPr>
  </w:style>
  <w:style w:type="character" w:customStyle="1" w:styleId="AssuntodecomentrioCarcter">
    <w:name w:val="Assunto de comentário Carácter"/>
    <w:rPr>
      <w:b/>
      <w:bCs/>
      <w:w w:val="100"/>
      <w:position w:val="-1"/>
      <w:sz w:val="20"/>
      <w:szCs w:val="20"/>
      <w:effect w:val="none"/>
      <w:vertAlign w:val="baseline"/>
      <w:cs w:val="0"/>
      <w:em w:val="none"/>
    </w:rPr>
  </w:style>
  <w:style w:type="table" w:customStyle="1" w:styleId="Tabelacomgrelha">
    <w:name w:val="Tabela com grelha"/>
    <w:basedOn w:val="Tabela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qFormat/>
    <w:rPr>
      <w:color w:val="0000FF"/>
      <w:w w:val="100"/>
      <w:position w:val="-1"/>
      <w:u w:val="single"/>
      <w:effect w:val="none"/>
      <w:vertAlign w:val="baseline"/>
      <w:cs w:val="0"/>
      <w:em w:val="none"/>
    </w:rPr>
  </w:style>
  <w:style w:type="character" w:customStyle="1" w:styleId="Ttulo1Carcter">
    <w:name w:val="Título 1 Carácter"/>
    <w:rPr>
      <w:rFonts w:ascii="Times New Roman" w:hAnsi="Times New Roman"/>
      <w:b/>
      <w:w w:val="100"/>
      <w:position w:val="-1"/>
      <w:sz w:val="22"/>
      <w:szCs w:val="22"/>
      <w:effect w:val="none"/>
      <w:vertAlign w:val="baseline"/>
      <w:cs w:val="0"/>
      <w:em w:val="none"/>
    </w:rPr>
  </w:style>
  <w:style w:type="paragraph" w:styleId="Cabealho">
    <w:name w:val="header"/>
    <w:basedOn w:val="Normal"/>
    <w:qFormat/>
    <w:pPr>
      <w:tabs>
        <w:tab w:val="center" w:pos="4252"/>
        <w:tab w:val="right" w:pos="8504"/>
      </w:tabs>
    </w:pPr>
  </w:style>
  <w:style w:type="character" w:customStyle="1" w:styleId="CabealhoCarcter">
    <w:name w:val="Cabeçalho Carácter"/>
    <w:rPr>
      <w:w w:val="100"/>
      <w:position w:val="-1"/>
      <w:sz w:val="22"/>
      <w:szCs w:val="22"/>
      <w:effect w:val="none"/>
      <w:vertAlign w:val="baseline"/>
      <w:cs w:val="0"/>
      <w:em w:val="none"/>
    </w:rPr>
  </w:style>
  <w:style w:type="paragraph" w:styleId="Rodap">
    <w:name w:val="footer"/>
    <w:basedOn w:val="Normal"/>
    <w:qFormat/>
    <w:pPr>
      <w:tabs>
        <w:tab w:val="center" w:pos="4252"/>
        <w:tab w:val="right" w:pos="8504"/>
      </w:tabs>
    </w:pPr>
  </w:style>
  <w:style w:type="character" w:customStyle="1" w:styleId="RodapCarcter">
    <w:name w:val="Rodapé Carácter"/>
    <w:rPr>
      <w:w w:val="100"/>
      <w:position w:val="-1"/>
      <w:sz w:val="22"/>
      <w:szCs w:val="22"/>
      <w:effect w:val="none"/>
      <w:vertAlign w:val="baseline"/>
      <w:cs w:val="0"/>
      <w:em w:val="none"/>
    </w:rPr>
  </w:style>
  <w:style w:type="character" w:customStyle="1" w:styleId="RodapCarter">
    <w:name w:val="Rodapé Caráter"/>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Times New Roman" w:hAnsi="Times New Roman"/>
      <w:color w:val="000000"/>
      <w:position w:val="-1"/>
      <w:sz w:val="24"/>
      <w:szCs w:val="24"/>
    </w:rPr>
  </w:style>
  <w:style w:type="paragraph" w:styleId="Textodenotaderodap">
    <w:name w:val="footnote text"/>
    <w:basedOn w:val="Normal"/>
    <w:qFormat/>
    <w:rPr>
      <w:sz w:val="20"/>
      <w:szCs w:val="20"/>
    </w:rPr>
  </w:style>
  <w:style w:type="character" w:customStyle="1" w:styleId="TextodenotaderodapCarcter">
    <w:name w:val="Texto de nota de rodapé Carácter"/>
    <w:basedOn w:val="Tipodeletrapredefinidodopargrafo"/>
    <w:rPr>
      <w:w w:val="100"/>
      <w:position w:val="-1"/>
      <w:effect w:val="none"/>
      <w:vertAlign w:val="baseline"/>
      <w:cs w:val="0"/>
      <w:em w:val="none"/>
    </w:rPr>
  </w:style>
  <w:style w:type="character" w:styleId="Refdenotaderodap">
    <w:name w:val="footnote reference"/>
    <w:qFormat/>
    <w:rPr>
      <w:w w:val="100"/>
      <w:position w:val="-1"/>
      <w:effect w:val="none"/>
      <w:vertAlign w:val="superscript"/>
      <w:cs w:val="0"/>
      <w:em w:val="none"/>
    </w:rPr>
  </w:style>
  <w:style w:type="character" w:styleId="Hiperligaovisitada">
    <w:name w:val="FollowedHyperlink"/>
    <w:qFormat/>
    <w:rPr>
      <w:color w:val="954F72"/>
      <w:w w:val="100"/>
      <w:position w:val="-1"/>
      <w:u w:val="single"/>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FWS/jsXZ4bpbl3W1dicBsAsE0w==">AMUW2mUDXM2PlHTlHL24VaTtkA6DdsRgXOmfpTMZIb3dx6d2yczO9e6oZbKAsJr+aCtmAKExZndG7160p9H0q0WvrXTGtQLTnt8j6M2We+sqe5uz/APkRjcm+T36nBY0Ox+mMJki/mWE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04E6ED-6AAC-4C55-8269-462E88736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1207</Words>
  <Characters>6520</Characters>
  <Application>Microsoft Office Word</Application>
  <DocSecurity>0</DocSecurity>
  <Lines>54</Lines>
  <Paragraphs>15</Paragraphs>
  <ScaleCrop>false</ScaleCrop>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Josete da Conceição Esteves Constatino Soares</dc:creator>
  <cp:lastModifiedBy>Catarina Alves Sardinha</cp:lastModifiedBy>
  <cp:revision>8</cp:revision>
  <cp:lastPrinted>2023-05-18T15:20:00Z</cp:lastPrinted>
  <dcterms:created xsi:type="dcterms:W3CDTF">2023-04-20T16:44:00Z</dcterms:created>
  <dcterms:modified xsi:type="dcterms:W3CDTF">2023-05-18T15:20:00Z</dcterms:modified>
</cp:coreProperties>
</file>