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848" w14:textId="0688FE37" w:rsidR="00C34D41" w:rsidRPr="00C34D41" w:rsidRDefault="005D0166" w:rsidP="00C34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D41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7C6D28C7" wp14:editId="0A1BC514">
            <wp:simplePos x="0" y="0"/>
            <wp:positionH relativeFrom="margin">
              <wp:posOffset>4908797</wp:posOffset>
            </wp:positionH>
            <wp:positionV relativeFrom="paragraph">
              <wp:posOffset>-557655</wp:posOffset>
            </wp:positionV>
            <wp:extent cx="1078346" cy="715352"/>
            <wp:effectExtent l="0" t="0" r="7620" b="8890"/>
            <wp:wrapNone/>
            <wp:docPr id="4" name="Imagem 4" descr="http://www.ebiah.edu.pt/portaleb23ah/Portals/0/Noticias/14-15/imagem_prosu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biah.edu.pt/portaleb23ah/Portals/0/Noticias/14-15/imagem_prosuce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28" cy="7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89">
        <w:rPr>
          <w:noProof/>
        </w:rPr>
        <w:drawing>
          <wp:anchor distT="0" distB="0" distL="114300" distR="114300" simplePos="0" relativeHeight="251664384" behindDoc="0" locked="0" layoutInCell="1" allowOverlap="1" wp14:anchorId="4F8997CC" wp14:editId="67C37BA1">
            <wp:simplePos x="0" y="0"/>
            <wp:positionH relativeFrom="column">
              <wp:posOffset>208280</wp:posOffset>
            </wp:positionH>
            <wp:positionV relativeFrom="paragraph">
              <wp:posOffset>-505097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04F5" w14:textId="77777777" w:rsidR="00C34D41" w:rsidRPr="00A92E9D" w:rsidRDefault="00C34D41" w:rsidP="00885DBC">
      <w:pPr>
        <w:widowControl w:val="0"/>
        <w:tabs>
          <w:tab w:val="left" w:pos="2880"/>
          <w:tab w:val="left" w:pos="6568"/>
        </w:tabs>
        <w:spacing w:before="240" w:after="0" w:line="360" w:lineRule="auto"/>
        <w:rPr>
          <w:rFonts w:ascii="Tw Cen MT" w:eastAsia="Trebuchet MS" w:hAnsi="Tw Cen MT" w:cs="Trebuchet MS"/>
          <w:spacing w:val="98"/>
          <w:sz w:val="20"/>
        </w:rPr>
      </w:pP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INFORMAÇÃO </w:t>
      </w:r>
      <w:r w:rsidR="00B36532" w:rsidRPr="00A92E9D">
        <w:rPr>
          <w:rFonts w:ascii="Tw Cen MT" w:eastAsia="Times New Roman" w:hAnsi="Tw Cen MT" w:cs="Trebuchet MS"/>
          <w:sz w:val="24"/>
          <w:lang w:eastAsia="pt-PT"/>
        </w:rPr>
        <w:t>-</w:t>
      </w: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 PROVA </w:t>
      </w:r>
      <w:r w:rsidR="00340C75" w:rsidRPr="00A92E9D">
        <w:rPr>
          <w:rFonts w:ascii="Tw Cen MT" w:eastAsia="Times New Roman" w:hAnsi="Tw Cen MT" w:cs="Trebuchet MS"/>
          <w:sz w:val="24"/>
          <w:lang w:eastAsia="pt-PT"/>
        </w:rPr>
        <w:t>DE EQUIVALÊNCIA À FREQUÊNCIA</w:t>
      </w:r>
    </w:p>
    <w:p w14:paraId="5AF9D377" w14:textId="1A724477" w:rsidR="00C34D41" w:rsidRPr="00A92E9D" w:rsidRDefault="00AE4716" w:rsidP="00C34D41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45B89">
        <w:rPr>
          <w:rFonts w:ascii="Calibri" w:eastAsia="Calibri" w:hAnsi="Calibri" w:cs="Times New Roman"/>
          <w:noProof/>
          <w:sz w:val="30"/>
          <w:szCs w:val="30"/>
          <w:highlight w:val="yellow"/>
          <w:lang w:eastAsia="pt-PT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11647A7" wp14:editId="12A45DDA">
                <wp:simplePos x="0" y="0"/>
                <wp:positionH relativeFrom="column">
                  <wp:posOffset>3175</wp:posOffset>
                </wp:positionH>
                <wp:positionV relativeFrom="paragraph">
                  <wp:posOffset>253999</wp:posOffset>
                </wp:positionV>
                <wp:extent cx="6278245" cy="0"/>
                <wp:effectExtent l="0" t="0" r="0" b="0"/>
                <wp:wrapNone/>
                <wp:docPr id="1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0B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.25pt;margin-top:20pt;width:494.3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" strokeweight="2.25pt"/>
            </w:pict>
          </mc:Fallback>
        </mc:AlternateContent>
      </w:r>
      <w:r w:rsidR="00E2341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>Físico-Química</w:t>
      </w:r>
      <w:r w:rsidR="00CE75BD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  <w:t xml:space="preserve">                  </w:t>
      </w:r>
    </w:p>
    <w:p w14:paraId="3D32595E" w14:textId="45EA2A92" w:rsidR="00C34D41" w:rsidRPr="00A92E9D" w:rsidRDefault="00C34D41" w:rsidP="00B36532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before="240" w:after="200" w:line="360" w:lineRule="auto"/>
        <w:ind w:right="-176"/>
        <w:rPr>
          <w:rFonts w:ascii="Tw Cen MT" w:eastAsia="Times New Roman" w:hAnsi="Tw Cen MT" w:cs="TrebuchetMS-Bold"/>
          <w:b/>
          <w:bCs/>
          <w:szCs w:val="20"/>
          <w:lang w:eastAsia="pt-PT"/>
        </w:rPr>
      </w:pPr>
      <w:r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Prova </w:t>
      </w:r>
      <w:r w:rsidR="00E2341D" w:rsidRPr="006242AA">
        <w:rPr>
          <w:rFonts w:ascii="Tw Cen MT" w:eastAsia="Times New Roman" w:hAnsi="Tw Cen MT" w:cs="TrebuchetMS-Bold"/>
          <w:b/>
          <w:bCs/>
          <w:szCs w:val="20"/>
          <w:lang w:eastAsia="pt-PT"/>
        </w:rPr>
        <w:t>11</w:t>
      </w:r>
      <w:r w:rsidR="00647936"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 </w:t>
      </w:r>
      <w:r w:rsidR="00647936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| 20</w:t>
      </w:r>
      <w:r w:rsidR="007E640E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2</w:t>
      </w:r>
      <w:r w:rsidR="00644E48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3</w:t>
      </w:r>
    </w:p>
    <w:p w14:paraId="4F9B3C85" w14:textId="3AB2507F" w:rsidR="00C34D41" w:rsidRPr="00466109" w:rsidRDefault="00AE4716" w:rsidP="00C34D41">
      <w:pPr>
        <w:autoSpaceDE w:val="0"/>
        <w:autoSpaceDN w:val="0"/>
        <w:adjustRightInd w:val="0"/>
        <w:spacing w:after="200" w:line="276" w:lineRule="auto"/>
        <w:rPr>
          <w:rFonts w:ascii="Tw Cen MT" w:eastAsia="Times New Roman" w:hAnsi="Tw Cen MT" w:cs="TrebuchetMS-Bold"/>
          <w:b/>
          <w:bCs/>
          <w:sz w:val="20"/>
          <w:szCs w:val="20"/>
          <w:lang w:eastAsia="pt-PT"/>
        </w:rPr>
      </w:pPr>
      <w:r w:rsidRPr="00466109">
        <w:rPr>
          <w:rFonts w:ascii="Calibri" w:eastAsia="Calibri" w:hAnsi="Calibri" w:cs="Times New Roman"/>
          <w:noProof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EC78451" wp14:editId="5CD345C1">
                <wp:simplePos x="0" y="0"/>
                <wp:positionH relativeFrom="margin">
                  <wp:posOffset>19050</wp:posOffset>
                </wp:positionH>
                <wp:positionV relativeFrom="page">
                  <wp:posOffset>2457450</wp:posOffset>
                </wp:positionV>
                <wp:extent cx="6291580" cy="31750"/>
                <wp:effectExtent l="0" t="0" r="7620" b="1905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AEB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51A6" id="Conexão reta 3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1.5pt,193.5pt" to="496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" strokecolor="#2aebff" strokeweight="2pt">
                <v:stroke joinstyle="miter"/>
                <w10:wrap anchorx="margin" anchory="page"/>
              </v:line>
            </w:pict>
          </mc:Fallback>
        </mc:AlternateContent>
      </w:r>
      <w:r w:rsidR="00E2341D" w:rsidRPr="00466109">
        <w:rPr>
          <w:rFonts w:ascii="Tw Cen MT" w:eastAsia="Times New Roman" w:hAnsi="Tw Cen MT" w:cs="TrebuchetMS"/>
          <w:sz w:val="24"/>
          <w:szCs w:val="24"/>
          <w:lang w:eastAsia="pt-PT"/>
        </w:rPr>
        <w:t>3</w:t>
      </w:r>
      <w:r w:rsidR="00C34D41" w:rsidRPr="00466109">
        <w:rPr>
          <w:rFonts w:ascii="Tw Cen MT" w:eastAsia="Times New Roman" w:hAnsi="Tw Cen MT" w:cs="TrebuchetMS"/>
          <w:sz w:val="24"/>
          <w:szCs w:val="24"/>
          <w:lang w:eastAsia="pt-PT"/>
        </w:rPr>
        <w:t>.º Ciclo do Ensino Básico</w:t>
      </w:r>
    </w:p>
    <w:p w14:paraId="116D9E33" w14:textId="043B8E7B" w:rsidR="00885DBC" w:rsidRPr="00466109" w:rsidRDefault="00885DBC" w:rsidP="00C35C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w Cen MT" w:eastAsia="Calibri" w:hAnsi="Tw Cen MT" w:cs="Times New Roman"/>
          <w:sz w:val="20"/>
          <w:szCs w:val="20"/>
        </w:rPr>
      </w:pPr>
    </w:p>
    <w:p w14:paraId="355AC2E0" w14:textId="339B786A" w:rsidR="00340C75" w:rsidRPr="00466109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466109">
        <w:rPr>
          <w:rFonts w:ascii="Tw Cen MT" w:hAnsi="Tw Cen MT"/>
        </w:rPr>
        <w:t>O presente documento divulga as características da prova de equivalência à frequência da disciplina de</w:t>
      </w:r>
      <w:r w:rsidR="00E2341D" w:rsidRPr="00466109">
        <w:rPr>
          <w:rFonts w:ascii="Tw Cen MT" w:hAnsi="Tw Cen MT"/>
        </w:rPr>
        <w:t xml:space="preserve"> Físico-Química</w:t>
      </w:r>
      <w:r w:rsidRPr="00466109">
        <w:rPr>
          <w:rFonts w:ascii="Tw Cen MT" w:hAnsi="Tw Cen MT"/>
        </w:rPr>
        <w:t>, a realizar em 20</w:t>
      </w:r>
      <w:r w:rsidR="00782DA2" w:rsidRPr="00466109">
        <w:rPr>
          <w:rFonts w:ascii="Tw Cen MT" w:hAnsi="Tw Cen MT"/>
        </w:rPr>
        <w:t>2</w:t>
      </w:r>
      <w:r w:rsidR="00644E48" w:rsidRPr="00466109">
        <w:rPr>
          <w:rFonts w:ascii="Tw Cen MT" w:hAnsi="Tw Cen MT"/>
        </w:rPr>
        <w:t>3</w:t>
      </w:r>
      <w:r w:rsidRPr="00466109">
        <w:rPr>
          <w:rFonts w:ascii="Tw Cen MT" w:hAnsi="Tw Cen MT"/>
        </w:rPr>
        <w:t xml:space="preserve"> pelos alunos que se encontram abrangidos pelos planos de estudo instituídos pelo Decreto Legislativo Regional </w:t>
      </w:r>
      <w:r w:rsidR="008038EA" w:rsidRPr="00466109">
        <w:rPr>
          <w:rFonts w:ascii="Tw Cen MT" w:hAnsi="Tw Cen MT"/>
        </w:rPr>
        <w:t>n</w:t>
      </w:r>
      <w:r w:rsidRPr="00466109">
        <w:rPr>
          <w:rFonts w:ascii="Tw Cen MT" w:hAnsi="Tw Cen MT"/>
        </w:rPr>
        <w:t>.º</w:t>
      </w:r>
      <w:r w:rsidR="00B162C5" w:rsidRPr="00466109">
        <w:rPr>
          <w:rFonts w:ascii="Tw Cen MT" w:hAnsi="Tw Cen MT"/>
        </w:rPr>
        <w:t xml:space="preserve"> </w:t>
      </w:r>
      <w:r w:rsidR="008038EA" w:rsidRPr="00466109">
        <w:rPr>
          <w:rFonts w:ascii="Tw Cen MT" w:hAnsi="Tw Cen MT"/>
        </w:rPr>
        <w:t>16</w:t>
      </w:r>
      <w:r w:rsidR="00B162C5" w:rsidRPr="00466109">
        <w:rPr>
          <w:rFonts w:ascii="Tw Cen MT" w:hAnsi="Tw Cen MT"/>
        </w:rPr>
        <w:t>/201</w:t>
      </w:r>
      <w:r w:rsidR="008038EA" w:rsidRPr="00466109">
        <w:rPr>
          <w:rFonts w:ascii="Tw Cen MT" w:hAnsi="Tw Cen MT"/>
        </w:rPr>
        <w:t>9</w:t>
      </w:r>
      <w:r w:rsidR="00B162C5" w:rsidRPr="00466109">
        <w:rPr>
          <w:rFonts w:ascii="Tw Cen MT" w:hAnsi="Tw Cen MT"/>
        </w:rPr>
        <w:t>/A de 2</w:t>
      </w:r>
      <w:r w:rsidR="008038EA" w:rsidRPr="00466109">
        <w:rPr>
          <w:rFonts w:ascii="Tw Cen MT" w:hAnsi="Tw Cen MT"/>
        </w:rPr>
        <w:t>3</w:t>
      </w:r>
      <w:r w:rsidR="00B162C5" w:rsidRPr="00466109">
        <w:rPr>
          <w:rFonts w:ascii="Tw Cen MT" w:hAnsi="Tw Cen MT"/>
        </w:rPr>
        <w:t xml:space="preserve"> de ju</w:t>
      </w:r>
      <w:r w:rsidR="008038EA" w:rsidRPr="00466109">
        <w:rPr>
          <w:rFonts w:ascii="Tw Cen MT" w:hAnsi="Tw Cen MT"/>
        </w:rPr>
        <w:t>l</w:t>
      </w:r>
      <w:r w:rsidR="00B162C5" w:rsidRPr="00466109">
        <w:rPr>
          <w:rFonts w:ascii="Tw Cen MT" w:hAnsi="Tw Cen MT"/>
        </w:rPr>
        <w:t>ho</w:t>
      </w:r>
      <w:r w:rsidR="00A70FD2" w:rsidRPr="00466109">
        <w:rPr>
          <w:rFonts w:ascii="Tw Cen MT" w:hAnsi="Tw Cen MT"/>
        </w:rPr>
        <w:t>.</w:t>
      </w:r>
    </w:p>
    <w:p w14:paraId="7FFA5B8C" w14:textId="081491B3" w:rsidR="00AB12E7" w:rsidRPr="00466109" w:rsidRDefault="007449FE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eastAsia="Times New Roman" w:hAnsi="Tw Cen MT" w:cs="Times New Roman"/>
          <w:lang w:eastAsia="pt-PT"/>
        </w:rPr>
      </w:pPr>
      <w:r w:rsidRPr="00466109">
        <w:rPr>
          <w:rFonts w:ascii="Tw Cen MT" w:eastAsia="Times New Roman" w:hAnsi="Tw Cen MT" w:cs="Times New Roman"/>
          <w:lang w:eastAsia="pt-PT"/>
        </w:rPr>
        <w:t>Os alunos que se encontram abrangidos pelo documento G</w:t>
      </w:r>
      <w:r w:rsidR="009B049B" w:rsidRPr="00466109">
        <w:rPr>
          <w:rFonts w:ascii="Tw Cen MT" w:eastAsia="Times New Roman" w:hAnsi="Tw Cen MT" w:cs="Times New Roman"/>
          <w:lang w:eastAsia="pt-PT"/>
        </w:rPr>
        <w:t>uia</w:t>
      </w:r>
      <w:r w:rsidRPr="00466109">
        <w:rPr>
          <w:rFonts w:ascii="Tw Cen MT" w:eastAsia="Times New Roman" w:hAnsi="Tw Cen MT" w:cs="Times New Roman"/>
          <w:lang w:eastAsia="pt-PT"/>
        </w:rPr>
        <w:t xml:space="preserve"> para Aplicação de</w:t>
      </w:r>
      <w:r w:rsidR="000716C3" w:rsidRPr="00466109">
        <w:rPr>
          <w:rFonts w:ascii="Tw Cen MT" w:eastAsia="Times New Roman" w:hAnsi="Tw Cen MT" w:cs="Times New Roman"/>
          <w:lang w:eastAsia="pt-PT"/>
        </w:rPr>
        <w:t xml:space="preserve"> Adaptações </w:t>
      </w:r>
      <w:r w:rsidRPr="00466109">
        <w:rPr>
          <w:rFonts w:ascii="Tw Cen MT" w:eastAsia="Times New Roman" w:hAnsi="Tw Cen MT" w:cs="Times New Roman"/>
          <w:lang w:eastAsia="pt-PT"/>
        </w:rPr>
        <w:t>na Realização de Provas e Exames - JNE 20</w:t>
      </w:r>
      <w:r w:rsidR="007E640E" w:rsidRPr="00466109">
        <w:rPr>
          <w:rFonts w:ascii="Tw Cen MT" w:eastAsia="Times New Roman" w:hAnsi="Tw Cen MT" w:cs="Times New Roman"/>
          <w:lang w:eastAsia="pt-PT"/>
        </w:rPr>
        <w:t>2</w:t>
      </w:r>
      <w:r w:rsidR="00644E48" w:rsidRPr="00466109">
        <w:rPr>
          <w:rFonts w:ascii="Tw Cen MT" w:eastAsia="Times New Roman" w:hAnsi="Tw Cen MT" w:cs="Times New Roman"/>
          <w:lang w:eastAsia="pt-PT"/>
        </w:rPr>
        <w:t>3</w:t>
      </w:r>
      <w:r w:rsidRPr="00466109">
        <w:rPr>
          <w:rFonts w:ascii="Tw Cen MT" w:eastAsia="Times New Roman" w:hAnsi="Tw Cen MT" w:cs="Times New Roman"/>
          <w:b/>
          <w:i/>
          <w:lang w:eastAsia="pt-PT"/>
        </w:rPr>
        <w:t xml:space="preserve">, </w:t>
      </w:r>
      <w:r w:rsidRPr="00466109">
        <w:rPr>
          <w:rFonts w:ascii="Tw Cen MT" w:eastAsia="Times New Roman" w:hAnsi="Tw Cen MT" w:cs="Times New Roman"/>
          <w:lang w:eastAsia="pt-PT"/>
        </w:rPr>
        <w:t xml:space="preserve">emanado pelo Júri Nacional de Exames realizam esta prova, com medidas contempladas nos seus </w:t>
      </w:r>
      <w:r w:rsidR="00782DA2" w:rsidRPr="00466109">
        <w:rPr>
          <w:rFonts w:ascii="Tw Cen MT" w:eastAsia="Times New Roman" w:hAnsi="Tw Cen MT" w:cs="Times New Roman"/>
          <w:lang w:eastAsia="pt-PT"/>
        </w:rPr>
        <w:t>Relatórios Técnicos-Pedagógicos,</w:t>
      </w:r>
      <w:r w:rsidRPr="00466109">
        <w:rPr>
          <w:rFonts w:ascii="Tw Cen MT" w:eastAsia="Times New Roman" w:hAnsi="Tw Cen MT" w:cs="Times New Roman"/>
          <w:lang w:eastAsia="pt-PT"/>
        </w:rPr>
        <w:t xml:space="preserve"> de acordo com </w:t>
      </w:r>
      <w:r w:rsidR="00782DA2" w:rsidRPr="00466109">
        <w:rPr>
          <w:rFonts w:ascii="Tw Cen MT" w:eastAsia="Times New Roman" w:hAnsi="Tw Cen MT" w:cs="Times New Roman"/>
          <w:lang w:eastAsia="pt-PT"/>
        </w:rPr>
        <w:t>a Declaração de Retificação n.º 47/2019, de 3 de outubro, que altera a Lei n.º 116/2019 de 13 de setembro, primeira alteração ao Decreto-Lei n.º 54/20</w:t>
      </w:r>
      <w:r w:rsidR="00000337" w:rsidRPr="00466109">
        <w:rPr>
          <w:rFonts w:ascii="Tw Cen MT" w:eastAsia="Times New Roman" w:hAnsi="Tw Cen MT" w:cs="Times New Roman"/>
          <w:lang w:eastAsia="pt-PT"/>
        </w:rPr>
        <w:t>1</w:t>
      </w:r>
      <w:r w:rsidR="00782DA2" w:rsidRPr="00466109">
        <w:rPr>
          <w:rFonts w:ascii="Tw Cen MT" w:eastAsia="Times New Roman" w:hAnsi="Tw Cen MT" w:cs="Times New Roman"/>
          <w:lang w:eastAsia="pt-PT"/>
        </w:rPr>
        <w:t>8 de 6 de julho, que estabelece o regime jurídico da educação inclusiva</w:t>
      </w:r>
      <w:r w:rsidRPr="00466109">
        <w:rPr>
          <w:rFonts w:ascii="Tw Cen MT" w:eastAsia="Times New Roman" w:hAnsi="Tw Cen MT" w:cs="Times New Roman"/>
          <w:lang w:eastAsia="pt-PT"/>
        </w:rPr>
        <w:t>.</w:t>
      </w:r>
    </w:p>
    <w:p w14:paraId="3D5D01AF" w14:textId="77777777" w:rsidR="00244CFA" w:rsidRPr="00A92E9D" w:rsidRDefault="00244CFA" w:rsidP="00C35CF3">
      <w:pPr>
        <w:autoSpaceDE w:val="0"/>
        <w:autoSpaceDN w:val="0"/>
        <w:adjustRightInd w:val="0"/>
        <w:spacing w:before="240" w:after="0" w:line="360" w:lineRule="auto"/>
        <w:ind w:right="8"/>
        <w:jc w:val="both"/>
        <w:rPr>
          <w:rFonts w:ascii="Tw Cen MT" w:eastAsia="Times New Roman" w:hAnsi="Tw Cen MT" w:cs="Times New Roman"/>
          <w:lang w:eastAsia="pt-PT"/>
        </w:rPr>
      </w:pPr>
    </w:p>
    <w:p w14:paraId="429716F3" w14:textId="5736917C" w:rsidR="00340C75" w:rsidRPr="00A92E9D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466109">
        <w:rPr>
          <w:rFonts w:ascii="Tw Cen MT" w:hAnsi="Tw Cen MT"/>
        </w:rPr>
        <w:t xml:space="preserve">Deve ainda ser tida em consideração a Portaria n.º </w:t>
      </w:r>
      <w:r w:rsidR="00A70FD2" w:rsidRPr="00466109">
        <w:rPr>
          <w:rFonts w:ascii="Tw Cen MT" w:hAnsi="Tw Cen MT"/>
        </w:rPr>
        <w:t>59</w:t>
      </w:r>
      <w:r w:rsidRPr="00466109">
        <w:rPr>
          <w:rFonts w:ascii="Tw Cen MT" w:hAnsi="Tw Cen MT"/>
        </w:rPr>
        <w:t>/201</w:t>
      </w:r>
      <w:r w:rsidR="00A70FD2" w:rsidRPr="00466109">
        <w:rPr>
          <w:rFonts w:ascii="Tw Cen MT" w:hAnsi="Tw Cen MT"/>
        </w:rPr>
        <w:t>9</w:t>
      </w:r>
      <w:r w:rsidR="00577A05" w:rsidRPr="00466109">
        <w:rPr>
          <w:rFonts w:ascii="Tw Cen MT" w:hAnsi="Tw Cen MT"/>
        </w:rPr>
        <w:t>,</w:t>
      </w:r>
      <w:r w:rsidRPr="00466109">
        <w:rPr>
          <w:rFonts w:ascii="Tw Cen MT" w:hAnsi="Tw Cen MT"/>
        </w:rPr>
        <w:t xml:space="preserve"> de </w:t>
      </w:r>
      <w:r w:rsidR="00A70FD2" w:rsidRPr="00466109">
        <w:rPr>
          <w:rFonts w:ascii="Tw Cen MT" w:hAnsi="Tw Cen MT"/>
        </w:rPr>
        <w:t>2</w:t>
      </w:r>
      <w:r w:rsidRPr="00466109">
        <w:rPr>
          <w:rFonts w:ascii="Tw Cen MT" w:hAnsi="Tw Cen MT"/>
        </w:rPr>
        <w:t xml:space="preserve">8 de </w:t>
      </w:r>
      <w:r w:rsidR="00A70FD2" w:rsidRPr="00466109">
        <w:rPr>
          <w:rFonts w:ascii="Tw Cen MT" w:hAnsi="Tw Cen MT"/>
        </w:rPr>
        <w:t>agosto</w:t>
      </w:r>
      <w:r w:rsidR="00B63563" w:rsidRPr="00466109">
        <w:rPr>
          <w:rFonts w:ascii="Tw Cen MT" w:hAnsi="Tw Cen MT"/>
        </w:rPr>
        <w:t xml:space="preserve"> e o </w:t>
      </w:r>
      <w:r w:rsidR="00E52C9A" w:rsidRPr="00466109">
        <w:rPr>
          <w:rFonts w:ascii="Tw Cen MT" w:hAnsi="Tw Cen MT"/>
        </w:rPr>
        <w:t>Despacho Normativo n.º 4-B/2023, de 3 de abril</w:t>
      </w:r>
      <w:r w:rsidR="00C777B5">
        <w:rPr>
          <w:rFonts w:ascii="Tw Cen MT" w:hAnsi="Tw Cen MT"/>
        </w:rPr>
        <w:t>.</w:t>
      </w:r>
    </w:p>
    <w:p w14:paraId="48184D49" w14:textId="4F172D1F" w:rsidR="000716C3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A92E9D">
        <w:rPr>
          <w:rFonts w:ascii="Tw Cen MT" w:hAnsi="Tw Cen MT"/>
        </w:rPr>
        <w:t xml:space="preserve">As informações apresentadas neste documento não dispensam a consulta da legislação referida, </w:t>
      </w:r>
      <w:r w:rsidR="00AF0C84" w:rsidRPr="00A92E9D">
        <w:rPr>
          <w:rFonts w:ascii="Tw Cen MT" w:hAnsi="Tw Cen MT"/>
        </w:rPr>
        <w:t>bem como</w:t>
      </w:r>
      <w:r w:rsidR="00577A05" w:rsidRPr="00A92E9D">
        <w:rPr>
          <w:rFonts w:ascii="Tw Cen MT" w:hAnsi="Tw Cen MT"/>
        </w:rPr>
        <w:t xml:space="preserve"> do </w:t>
      </w:r>
      <w:r w:rsidR="000716C3" w:rsidRPr="00A92E9D">
        <w:rPr>
          <w:rFonts w:ascii="Tw Cen MT" w:hAnsi="Tw Cen MT"/>
        </w:rPr>
        <w:t xml:space="preserve">referencial-base </w:t>
      </w:r>
      <w:r w:rsidR="00C24598" w:rsidRPr="00A92E9D">
        <w:rPr>
          <w:rFonts w:ascii="Tw Cen MT" w:hAnsi="Tw Cen MT"/>
        </w:rPr>
        <w:t>d</w:t>
      </w:r>
      <w:r w:rsidR="000716C3" w:rsidRPr="00A92E9D">
        <w:rPr>
          <w:rFonts w:ascii="Tw Cen MT" w:hAnsi="Tw Cen MT"/>
        </w:rPr>
        <w:t>as Aprendizagens Essenciais, com especial enfoque nas áreas de competência inscritas no Perfil dos Alunos à Saída da Escolaridade Obrigatória</w:t>
      </w:r>
      <w:r w:rsidR="00767F46">
        <w:rPr>
          <w:rFonts w:ascii="Tw Cen MT" w:hAnsi="Tw Cen MT"/>
        </w:rPr>
        <w:t>.</w:t>
      </w:r>
    </w:p>
    <w:p w14:paraId="08F41A6F" w14:textId="4D1E7174" w:rsidR="00577A05" w:rsidRDefault="00577A05" w:rsidP="00C35CF3">
      <w:pPr>
        <w:autoSpaceDE w:val="0"/>
        <w:autoSpaceDN w:val="0"/>
        <w:adjustRightInd w:val="0"/>
        <w:spacing w:before="240" w:after="0" w:line="360" w:lineRule="auto"/>
        <w:ind w:right="8"/>
        <w:jc w:val="both"/>
        <w:rPr>
          <w:rFonts w:ascii="Tw Cen MT" w:eastAsia="Calibri" w:hAnsi="Tw Cen MT" w:cs="Times New Roman"/>
          <w:sz w:val="24"/>
          <w:szCs w:val="24"/>
        </w:rPr>
      </w:pPr>
    </w:p>
    <w:p w14:paraId="53B93AAE" w14:textId="25BAC3BE" w:rsidR="00C34D41" w:rsidRPr="00000337" w:rsidRDefault="00C34D41" w:rsidP="00C35CF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000337">
        <w:rPr>
          <w:rFonts w:ascii="Tw Cen MT" w:eastAsia="Calibri" w:hAnsi="Tw Cen MT" w:cs="Times New Roman"/>
        </w:rPr>
        <w:t>O presente documento dá a conhecer os seguintes aspetos relativos à prova:</w:t>
      </w:r>
    </w:p>
    <w:p w14:paraId="040CF96F" w14:textId="77777777" w:rsidR="00C34D41" w:rsidRPr="00000337" w:rsidRDefault="00C34D41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Objeto de</w:t>
      </w:r>
      <w:r w:rsidRPr="00000337">
        <w:rPr>
          <w:rFonts w:ascii="Tw Cen MT" w:eastAsia="Times New Roman" w:hAnsi="Tw Cen MT" w:cs="Times New Roman"/>
          <w:color w:val="231F20"/>
          <w:spacing w:val="-12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avaliação</w:t>
      </w:r>
    </w:p>
    <w:p w14:paraId="00C9D119" w14:textId="514D004F" w:rsidR="00C34D41" w:rsidRPr="009B049B" w:rsidRDefault="008038EA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color w:val="231F20"/>
          <w:lang w:eastAsia="pt-PT"/>
        </w:rPr>
        <w:t>Características e estrutura</w:t>
      </w:r>
    </w:p>
    <w:p w14:paraId="4A03AB3C" w14:textId="2C2DFA92" w:rsidR="009B049B" w:rsidRPr="009B049B" w:rsidRDefault="009B049B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Critérios gerais de</w:t>
      </w:r>
      <w:r w:rsidRPr="00000337">
        <w:rPr>
          <w:rFonts w:ascii="Tw Cen MT" w:eastAsia="Times New Roman" w:hAnsi="Tw Cen MT" w:cs="Times New Roman"/>
          <w:color w:val="231F20"/>
          <w:spacing w:val="-24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classificação</w:t>
      </w:r>
    </w:p>
    <w:p w14:paraId="55565BA6" w14:textId="2D691CAF" w:rsidR="008038EA" w:rsidRPr="00C55A56" w:rsidRDefault="008038EA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Material</w:t>
      </w:r>
      <w:r>
        <w:rPr>
          <w:rFonts w:ascii="Tw Cen MT" w:eastAsia="Times New Roman" w:hAnsi="Tw Cen MT" w:cs="Times New Roman"/>
          <w:color w:val="231F20"/>
          <w:lang w:eastAsia="pt-PT"/>
        </w:rPr>
        <w:t xml:space="preserve"> </w:t>
      </w:r>
    </w:p>
    <w:p w14:paraId="0AA29F98" w14:textId="69032939" w:rsidR="00C55A56" w:rsidRPr="009A2946" w:rsidRDefault="00C55A56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 xml:space="preserve">Duração </w:t>
      </w:r>
    </w:p>
    <w:p w14:paraId="39515E87" w14:textId="77777777" w:rsidR="009A2946" w:rsidRPr="00C55A56" w:rsidRDefault="009A2946" w:rsidP="009A2946">
      <w:pPr>
        <w:widowControl w:val="0"/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</w:p>
    <w:p w14:paraId="57175E12" w14:textId="07FB70C6" w:rsidR="00C34D41" w:rsidRDefault="00C34D41" w:rsidP="00C35CF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lang w:eastAsia="pt-PT"/>
        </w:rPr>
        <w:t>Este documento deve ser dado a conhecer aos encarregados de educação e aos alunos</w:t>
      </w:r>
      <w:r w:rsidR="002D4518" w:rsidRPr="00000337">
        <w:rPr>
          <w:rFonts w:ascii="Tw Cen MT" w:eastAsia="Times New Roman" w:hAnsi="Tw Cen MT" w:cs="Times New Roman"/>
          <w:lang w:eastAsia="pt-PT"/>
        </w:rPr>
        <w:t xml:space="preserve">. O </w:t>
      </w:r>
      <w:r w:rsidR="00E06030" w:rsidRPr="00000337">
        <w:rPr>
          <w:rFonts w:ascii="Tw Cen MT" w:eastAsia="Times New Roman" w:hAnsi="Tw Cen MT" w:cs="Times New Roman"/>
          <w:lang w:eastAsia="pt-PT"/>
        </w:rPr>
        <w:t>mesmo</w:t>
      </w:r>
      <w:r w:rsidRPr="00000337">
        <w:rPr>
          <w:rFonts w:ascii="Tw Cen MT" w:eastAsia="Times New Roman" w:hAnsi="Tw Cen MT" w:cs="Times New Roman"/>
          <w:lang w:eastAsia="pt-PT"/>
        </w:rPr>
        <w:t xml:space="preserve"> deve ser analisado</w:t>
      </w:r>
      <w:r w:rsidR="002D4518" w:rsidRPr="00000337">
        <w:rPr>
          <w:rFonts w:ascii="Tw Cen MT" w:eastAsia="Times New Roman" w:hAnsi="Tw Cen MT" w:cs="Times New Roman"/>
          <w:lang w:eastAsia="pt-PT"/>
        </w:rPr>
        <w:t xml:space="preserve"> com os alunos</w:t>
      </w:r>
      <w:r w:rsidRPr="00000337">
        <w:rPr>
          <w:rFonts w:ascii="Tw Cen MT" w:eastAsia="Times New Roman" w:hAnsi="Tw Cen MT" w:cs="Times New Roman"/>
          <w:lang w:eastAsia="pt-PT"/>
        </w:rPr>
        <w:t>, para que fiquem devidamente informados sobre a prova que irão realizar.</w:t>
      </w:r>
    </w:p>
    <w:p w14:paraId="42BBA7F5" w14:textId="77777777" w:rsidR="00F45B89" w:rsidRDefault="00F45B89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63A9BA7B" w14:textId="77777777" w:rsid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b/>
          <w:bCs/>
          <w:u w:val="single"/>
          <w:lang w:eastAsia="pt-PT"/>
        </w:rPr>
      </w:pPr>
    </w:p>
    <w:p w14:paraId="6EA93983" w14:textId="77777777" w:rsid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b/>
          <w:bCs/>
          <w:u w:val="single"/>
          <w:lang w:eastAsia="pt-PT"/>
        </w:rPr>
      </w:pPr>
    </w:p>
    <w:p w14:paraId="79A7E6D2" w14:textId="0163D9DA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lastRenderedPageBreak/>
        <w:t>Objeto de avaliação</w:t>
      </w:r>
    </w:p>
    <w:p w14:paraId="394F0A63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prova tem por referência o Perfil dos Alunos à Saída da Escolaridade Obrigatória e Aprendizagens Essenciais de Físico-Química e permite avaliar a aprendizagem passível de avaliação numa prova escrita e prática de duração limitada.</w:t>
      </w:r>
    </w:p>
    <w:p w14:paraId="284E5ACC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60FE0DFD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t>Características e estrutura</w:t>
      </w:r>
    </w:p>
    <w:p w14:paraId="0D6B808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Os alunos realizam a prova no enunciado.</w:t>
      </w:r>
    </w:p>
    <w:p w14:paraId="702D5CF4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prova é constituída por dois cadernos, caderno 1 referente à parte escrita, caderno 2 referente à parte prática, sendo possível o uso da calculadora científica não gráfica em ambos os cadernos. </w:t>
      </w:r>
    </w:p>
    <w:p w14:paraId="1753EE29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prova inclui um formulário.</w:t>
      </w:r>
    </w:p>
    <w:p w14:paraId="09E45591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prova reflete uma visão integradora e articulada dos diferentes conteúdos programáticos da disciplina. </w:t>
      </w:r>
    </w:p>
    <w:p w14:paraId="17B357C5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Os itens podem ter como suporte um ou mais documentos, como textos, tabelas, figuras e gráficos. </w:t>
      </w:r>
    </w:p>
    <w:p w14:paraId="563AEDF7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sequência dos itens pode não corresponder à sequência dos domínios no programa e nos documentos orientadores ou à sequência dos seus conteúdos.</w:t>
      </w:r>
    </w:p>
    <w:p w14:paraId="2DC80EEC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Cada item pode envolver a mobilização de conteúdos relativos a mais do que um dos domínios do programa. </w:t>
      </w:r>
    </w:p>
    <w:p w14:paraId="6EF146AD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Alguns dos itens podem incidir sobre a aprendizagem feita no âmbito das experiências educativas realizadas em laboratório.</w:t>
      </w:r>
    </w:p>
    <w:p w14:paraId="39315DF9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prova inclui itens de seleção (escolha múltipla, completamento, por exemplo) e itens de construção (resposta curta, cálculo, por exemplo).</w:t>
      </w:r>
    </w:p>
    <w:p w14:paraId="35EEEE8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classificação final da prova corresponde à média aritmética simples das classificações das duas componentes, escrita e prática, expressas na escala de 0 a 100.</w:t>
      </w:r>
    </w:p>
    <w:p w14:paraId="2A40848F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distribuição da cotação pelos domínios apresenta-se no Quadro 1.</w:t>
      </w:r>
    </w:p>
    <w:p w14:paraId="082A368C" w14:textId="29C95B62" w:rsid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2CC390B9" w14:textId="6593E60B" w:rsid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75ED0FDB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5245"/>
      </w:tblGrid>
      <w:tr w:rsidR="00E2341D" w:rsidRPr="00E2341D" w14:paraId="11B35B91" w14:textId="77777777" w:rsidTr="00E2341D">
        <w:trPr>
          <w:trHeight w:val="8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96AC21" w14:textId="3E337E54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b/>
                <w:bCs/>
                <w:lang w:eastAsia="pt-PT"/>
              </w:rPr>
              <w:lastRenderedPageBreak/>
              <w:t>D</w:t>
            </w: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omínios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56485A" w14:textId="58822F76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Cotação</w:t>
            </w:r>
          </w:p>
          <w:p w14:paraId="472280C8" w14:textId="15639EA2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(em pontos)</w:t>
            </w:r>
          </w:p>
        </w:tc>
      </w:tr>
      <w:tr w:rsidR="00E2341D" w:rsidRPr="00E2341D" w14:paraId="48DFF89D" w14:textId="77777777" w:rsidTr="00E2341D">
        <w:trPr>
          <w:trHeight w:val="8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CC7429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Prova escrita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91225C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100 pontos</w:t>
            </w:r>
          </w:p>
        </w:tc>
      </w:tr>
      <w:tr w:rsidR="00E2341D" w:rsidRPr="00E2341D" w14:paraId="56271956" w14:textId="77777777" w:rsidTr="00E2341D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518D07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Espaço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9C3841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De 1 a 15</w:t>
            </w:r>
          </w:p>
        </w:tc>
      </w:tr>
      <w:tr w:rsidR="00E2341D" w:rsidRPr="00E2341D" w14:paraId="4CCE7DFE" w14:textId="77777777" w:rsidTr="00E2341D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03DEAC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Materiais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822B92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De 1 a 15</w:t>
            </w:r>
          </w:p>
        </w:tc>
      </w:tr>
      <w:tr w:rsidR="00E2341D" w:rsidRPr="00E2341D" w14:paraId="50D5309E" w14:textId="77777777" w:rsidTr="00E2341D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C46027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Luz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A97AB5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De 1 a 15</w:t>
            </w:r>
          </w:p>
        </w:tc>
      </w:tr>
      <w:tr w:rsidR="00E2341D" w:rsidRPr="00E2341D" w14:paraId="585DAC92" w14:textId="77777777" w:rsidTr="00E2341D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B70673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Movimentos e forças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7F3695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De 1 a 20</w:t>
            </w:r>
          </w:p>
        </w:tc>
      </w:tr>
      <w:tr w:rsidR="00E2341D" w:rsidRPr="00E2341D" w14:paraId="2EDCB27C" w14:textId="77777777" w:rsidTr="00E2341D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B250F5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Eletricidade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D87A67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De 1 a 20</w:t>
            </w:r>
          </w:p>
        </w:tc>
      </w:tr>
      <w:tr w:rsidR="00E2341D" w:rsidRPr="00E2341D" w14:paraId="15DD5CA4" w14:textId="77777777" w:rsidTr="00E2341D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B81CA1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Classificação dos materiais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2F47AC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De 1 a 20</w:t>
            </w:r>
          </w:p>
        </w:tc>
      </w:tr>
      <w:tr w:rsidR="00E2341D" w:rsidRPr="00E2341D" w14:paraId="1254C47B" w14:textId="77777777" w:rsidTr="00E2341D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37BA2C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Prova prática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EE0579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100 pontos</w:t>
            </w:r>
          </w:p>
        </w:tc>
      </w:tr>
      <w:tr w:rsidR="00E2341D" w:rsidRPr="00E2341D" w14:paraId="5FE1D513" w14:textId="77777777" w:rsidTr="00E2341D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026E23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Reações químicas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480B2E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100 pontos</w:t>
            </w:r>
          </w:p>
        </w:tc>
      </w:tr>
    </w:tbl>
    <w:p w14:paraId="36945B4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                Quadro 1 – Distribuição da cotação</w:t>
      </w:r>
    </w:p>
    <w:p w14:paraId="747D7718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br/>
      </w:r>
    </w:p>
    <w:p w14:paraId="0C4ED38D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t>Critérios gerais de classificação</w:t>
      </w:r>
    </w:p>
    <w:p w14:paraId="47167734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As classificações a atribuir às respostas são expressas em números inteiros ou decimais e resultam da aplicação dos critérios gerais e dos critérios específicos apresentados para cada item.</w:t>
      </w:r>
    </w:p>
    <w:p w14:paraId="43E7DB75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As respostas ilegíveis ou que não possam ser claramente identificadas são classificadas com 0 pontos. </w:t>
      </w:r>
    </w:p>
    <w:p w14:paraId="30DB01FA" w14:textId="12429306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Se o examinado responder a um item mais do que uma vez, não eliminando inequivocamente a(s) resposta(s) que não deseja que seja(m) classificada(s), será classificada a resposta que surge em primeiro lugar.</w:t>
      </w:r>
    </w:p>
    <w:p w14:paraId="5CE7B1EE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lastRenderedPageBreak/>
        <w:t>As respostas aos itens são classificadas de forma dicotómica, por níveis de desempenho ou por etapas, de acordo com os critérios específicos. A cada nível de desempenho e a cada etapa corresponde uma dada pontuação. </w:t>
      </w:r>
    </w:p>
    <w:p w14:paraId="3FA1D6B2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classificação a atribuir às respostas aos itens de construção pode estar sujeita a desvalorizações de acordo com os critérios gerais e específicos.</w:t>
      </w:r>
    </w:p>
    <w:p w14:paraId="3EB63F55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As respostas que apresentam apenas o resultado final, quando a resolução do item exige a apresentação de cálculos ou de justificações, são classificadas com 0 pontos.</w:t>
      </w:r>
    </w:p>
    <w:p w14:paraId="70A88375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0BC808B5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t>Prova Escrita</w:t>
      </w:r>
    </w:p>
    <w:p w14:paraId="47F8168E" w14:textId="1F0F0621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t>Itens de seleção:</w:t>
      </w:r>
    </w:p>
    <w:p w14:paraId="138613E4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- Escolha múltipla:</w:t>
      </w:r>
    </w:p>
    <w:p w14:paraId="19B5BE3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cotação total do item só é atribuída às respostas que apresentem de forma inequívoca a única opção correta. São classificadas com 0 pontos as respostas em que seja assinalada:</w:t>
      </w:r>
    </w:p>
    <w:p w14:paraId="6C4DFF4B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- uma opção incorreta;</w:t>
      </w:r>
    </w:p>
    <w:p w14:paraId="0747C182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- mais do que uma opção.</w:t>
      </w:r>
    </w:p>
    <w:p w14:paraId="66D74302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Não há lugar a classificações intermédias.</w:t>
      </w:r>
    </w:p>
    <w:p w14:paraId="6B32991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0F26E5E3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- Associação:</w:t>
      </w:r>
    </w:p>
    <w:p w14:paraId="624DFEAB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cada associação correta assinalada de forma inequívoca é atribuída pontuação. Considera-se incorreta qualquer associação que relacione um elemento de um dado conjunto com mais do que um elemento do outro conjunto.</w:t>
      </w:r>
    </w:p>
    <w:p w14:paraId="652FD1B7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768D5363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t>Itens de construção:</w:t>
      </w:r>
    </w:p>
    <w:p w14:paraId="26C4EB1C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Nos critérios de classificação organizados por níveis de desempenho, é atribuída, a cada um desses níveis, uma única pontuação. No caso de, ponderados todos os dados contidos nos descritores, permanecerem dúvidas quanto ao nível a atribuir, deve optar-se pelo nível mais elevado de entre os dois tidos em consideração.</w:t>
      </w:r>
    </w:p>
    <w:p w14:paraId="6B7C6B9C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lastRenderedPageBreak/>
        <w:t>Se a resposta contiver dados que revelem contradição em relação aos elementos considerados corretos, ou se apresentar dados cuja irrelevância impossibilite a identificação objetiva dos elementos solicitados, é atribuída a classificação de 0 pontos.</w:t>
      </w:r>
    </w:p>
    <w:p w14:paraId="1F3922BB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As respostas classificadas por níveis de desempenho podem não apresentar exatamente os termos e/ou as expressões constantes dos critérios específicos de classificação, desde que o seu conteúdo seja cientificamente válido e adequado ao solicitado.</w:t>
      </w:r>
    </w:p>
    <w:p w14:paraId="6DF61881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516EC06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- Completamento:</w:t>
      </w:r>
    </w:p>
    <w:p w14:paraId="2B697008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As respostas corretas são classificadas com a cotação total do item. As respostas incorretas são classificadas com 0 pontos.</w:t>
      </w:r>
    </w:p>
    <w:p w14:paraId="06FBB22F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Não há lugar a classificações intermédias.</w:t>
      </w:r>
    </w:p>
    <w:p w14:paraId="00EF6F4C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7C8D6F4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- Resposta curta:</w:t>
      </w:r>
    </w:p>
    <w:p w14:paraId="58F1F6BE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Nos itens em que os critérios específicos não se apresentem organizados por níveis de desempenho, as respostas corretas são classificadas com a cotação total do item e as respostas incorretas são classificadas com 0 pontos. Nesses casos, não há lugar a classificações intermédias. </w:t>
      </w:r>
    </w:p>
    <w:p w14:paraId="5593AC37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Se a resposta contiver elementos contraditórios ou que excedam o solicitado, deve ser classificada com 0 pontos.</w:t>
      </w:r>
    </w:p>
    <w:p w14:paraId="1D42A7FA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2132EE2D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- Resposta restrita:</w:t>
      </w:r>
    </w:p>
    <w:p w14:paraId="39E7EB59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Os critérios de classificação dos itens de resposta restrita apresentam-se organizados por níveis de desempenho. A cada nível de desempenho corresponde uma dada pontuação (níveis discriminados nos critérios específicos de classificação).</w:t>
      </w:r>
    </w:p>
    <w:p w14:paraId="113C754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Se a resposta contiver elementos contraditórios em relação aos elementos considerados corretos, é atribuída a classificação de 0 pontos. </w:t>
      </w:r>
    </w:p>
    <w:p w14:paraId="576AC967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É classificada com 0 pontos qualquer resposta que não atinja o nível 1 de desempenho. </w:t>
      </w:r>
    </w:p>
    <w:p w14:paraId="36BD5441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As respostas, se o seu conteúdo for considerado cientificamente válido e adequado ao solicitado, podem não apresentar exatamente os termos e/ou as expressões constantes dos critérios específicos de classificação, desde que a linguagem usada em alternativa seja adequada.</w:t>
      </w:r>
    </w:p>
    <w:p w14:paraId="367CCFF3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lastRenderedPageBreak/>
        <w:t>- Cálculo:</w:t>
      </w:r>
    </w:p>
    <w:p w14:paraId="26E10E1A" w14:textId="1E6AD544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Os critérios de classificação dos itens de cálculo apresentam os passos de resolução e a pontuação correspondente a cada passo. </w:t>
      </w:r>
    </w:p>
    <w:p w14:paraId="22E6C8B3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classificação a atribuir à resposta ou um item resulta da soma das pontuações obtidas em cada passo de resolução, tendo em conta os critérios específicos de classificação. </w:t>
      </w:r>
    </w:p>
    <w:p w14:paraId="0AAE38EC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O examinando deve respeitar sempre a instrução relativa à apresentação de todos os cálculos efetuados, assim como apresentar todas as justificações e/ou conclusões eventualmente solicitadas. A apresentação apenas do resultado final é classificada com 0 pontos. </w:t>
      </w:r>
    </w:p>
    <w:p w14:paraId="58CA6A8F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Um erro de transcrição implica uma desvalorização de 1 ponto na classificação a atribuir à resposta na qual esse tipo de erro ocorra.</w:t>
      </w:r>
    </w:p>
    <w:p w14:paraId="6866CBF6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No quadro 2 apresentam-se os critérios de classificação a aplicar às respostas aos itens de cálculo de uma (ou mais) grandeza(s): </w:t>
      </w:r>
    </w:p>
    <w:p w14:paraId="4AAB784E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6161"/>
      </w:tblGrid>
      <w:tr w:rsidR="00E2341D" w:rsidRPr="00E2341D" w14:paraId="05E7B851" w14:textId="77777777" w:rsidTr="00E2341D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31" w:type="dxa"/>
              <w:bottom w:w="80" w:type="dxa"/>
              <w:right w:w="928" w:type="dxa"/>
            </w:tcMar>
            <w:vAlign w:val="center"/>
            <w:hideMark/>
          </w:tcPr>
          <w:p w14:paraId="2F331D4E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Situação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31" w:type="dxa"/>
              <w:bottom w:w="80" w:type="dxa"/>
              <w:right w:w="928" w:type="dxa"/>
            </w:tcMar>
            <w:vAlign w:val="center"/>
            <w:hideMark/>
          </w:tcPr>
          <w:p w14:paraId="56F8126D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Classificação</w:t>
            </w:r>
          </w:p>
        </w:tc>
      </w:tr>
      <w:tr w:rsidR="00E2341D" w:rsidRPr="00E2341D" w14:paraId="626AA7BF" w14:textId="77777777" w:rsidTr="00E2341D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24" w:type="dxa"/>
            </w:tcMar>
            <w:vAlign w:val="center"/>
            <w:hideMark/>
          </w:tcPr>
          <w:p w14:paraId="2596B14D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Utilização de processos de resolução do item que não respeite as instruções dadas.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45" w:type="dxa"/>
              <w:bottom w:w="80" w:type="dxa"/>
              <w:right w:w="246" w:type="dxa"/>
            </w:tcMar>
            <w:vAlign w:val="center"/>
            <w:hideMark/>
          </w:tcPr>
          <w:p w14:paraId="211CA174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 xml:space="preserve"> Não são consideradas as etapas cuja resolução não esteja relacionada com a instrução respeitada.</w:t>
            </w:r>
          </w:p>
        </w:tc>
      </w:tr>
      <w:tr w:rsidR="00E2341D" w:rsidRPr="00E2341D" w14:paraId="6717E1DD" w14:textId="77777777" w:rsidTr="00E2341D">
        <w:trPr>
          <w:trHeight w:val="2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24" w:type="dxa"/>
            </w:tcMar>
            <w:vAlign w:val="center"/>
            <w:hideMark/>
          </w:tcPr>
          <w:p w14:paraId="30B2249A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 xml:space="preserve"> Utilização de processos de resolução do item não previstos nos critérios específicos.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45" w:type="dxa"/>
              <w:bottom w:w="80" w:type="dxa"/>
              <w:right w:w="246" w:type="dxa"/>
            </w:tcMar>
            <w:vAlign w:val="center"/>
            <w:hideMark/>
          </w:tcPr>
          <w:p w14:paraId="3D32F619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 xml:space="preserve"> Deve ser classificado qualquer processo de resolução cientificamente correto, ainda que não previsto nos critérios específicos de classificação nem no programa da disciplina, desde que respeite as instruções dadas.</w:t>
            </w:r>
          </w:p>
        </w:tc>
      </w:tr>
      <w:tr w:rsidR="00E2341D" w:rsidRPr="00E2341D" w14:paraId="084D653C" w14:textId="77777777" w:rsidTr="00E2341D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8" w:type="dxa"/>
              <w:bottom w:w="80" w:type="dxa"/>
              <w:right w:w="124" w:type="dxa"/>
            </w:tcMar>
            <w:vAlign w:val="center"/>
            <w:hideMark/>
          </w:tcPr>
          <w:p w14:paraId="1A40D1C0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 xml:space="preserve"> Não explicitação dos cálculos necessários à resolução de uma ou mais etapas.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45" w:type="dxa"/>
              <w:bottom w:w="80" w:type="dxa"/>
              <w:right w:w="246" w:type="dxa"/>
            </w:tcMar>
            <w:vAlign w:val="center"/>
            <w:hideMark/>
          </w:tcPr>
          <w:p w14:paraId="43BB6CE5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 xml:space="preserve"> Não são consideradas as etapas em que ocorram essas omissões, ainda que seja apresentado um resultado final correto.</w:t>
            </w:r>
          </w:p>
        </w:tc>
      </w:tr>
      <w:tr w:rsidR="00E2341D" w:rsidRPr="00E2341D" w14:paraId="11E57360" w14:textId="77777777" w:rsidTr="00E2341D">
        <w:trPr>
          <w:trHeight w:val="2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4" w:type="dxa"/>
            </w:tcMar>
            <w:vAlign w:val="center"/>
            <w:hideMark/>
          </w:tcPr>
          <w:p w14:paraId="1C3172AF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lastRenderedPageBreak/>
              <w:t xml:space="preserve"> Não resolução de uma etapa necessária aos cálculos subsequentes.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45" w:type="dxa"/>
              <w:bottom w:w="80" w:type="dxa"/>
              <w:right w:w="246" w:type="dxa"/>
            </w:tcMar>
            <w:vAlign w:val="center"/>
            <w:hideMark/>
          </w:tcPr>
          <w:p w14:paraId="30096CC8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Se o aluno explicitar inequivocamente a necessidade de calcular o valor da grandeza solicitada nessa etapa, as etapas subsequentes deverão ser consideradas para efeitos de classificação.</w:t>
            </w:r>
          </w:p>
          <w:p w14:paraId="749EF9E3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 Deverá apresentar a unidade no resultado final, mesmo que não consiga obter o valor numérico solicitado.</w:t>
            </w:r>
          </w:p>
        </w:tc>
      </w:tr>
    </w:tbl>
    <w:p w14:paraId="3C517431" w14:textId="621404B4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        Quadro 2 – Critérios de classificação</w:t>
      </w:r>
    </w:p>
    <w:p w14:paraId="1BE34CCD" w14:textId="03844ACD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br/>
      </w:r>
    </w:p>
    <w:p w14:paraId="56740F8A" w14:textId="350563EE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t>Prova Prática</w:t>
      </w:r>
    </w:p>
    <w:p w14:paraId="3D850FF4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Na avaliação da prova prática os critérios de classificação estão organizados por níveis de desempenho, a que correspondem cotações fixas e contemplam aspetos relativos ao cumprimento do procedimento experimental, à correta utilização e manuseamento do material de laboratório, e ao respeito pelos cuidados de segurança, sendo a valorização feita de acordo com os descritores apresentados no Quadro 3.</w:t>
      </w:r>
    </w:p>
    <w:p w14:paraId="0A5240C4" w14:textId="23ED7553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Nos outros itens aplicam-se os critérios indicados para a prova escrita.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8672"/>
      </w:tblGrid>
      <w:tr w:rsidR="00E2341D" w:rsidRPr="00E2341D" w14:paraId="5F9DEA48" w14:textId="77777777" w:rsidTr="00E23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B633E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Nível 3</w:t>
            </w:r>
          </w:p>
          <w:p w14:paraId="4E6AF24D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(30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E5753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Cumpre o procedimento experimental.</w:t>
            </w:r>
          </w:p>
          <w:p w14:paraId="27C905D0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Utiliza e manuseia corretamente materiais, reagentes e equipamentos de laboratório. </w:t>
            </w:r>
          </w:p>
          <w:p w14:paraId="65F0BD60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Respeita os cuidados de segurança associados à atividade laboratorial que realiza.</w:t>
            </w:r>
          </w:p>
        </w:tc>
      </w:tr>
      <w:tr w:rsidR="00E2341D" w:rsidRPr="00E2341D" w14:paraId="4CE7F08A" w14:textId="77777777" w:rsidTr="00E23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1C743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Nível 2</w:t>
            </w:r>
          </w:p>
          <w:p w14:paraId="38B63FE3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(15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DCC8B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Cumpre o procedimento experimental.</w:t>
            </w:r>
          </w:p>
          <w:p w14:paraId="065CCB9D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Utiliza e manuseia materiais, reagentes e equipamentos de laboratório com algumas falhas.</w:t>
            </w:r>
          </w:p>
          <w:p w14:paraId="30FBF4B7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Respeita os cuidados de segurança associados à atividade laboratorial que realiza.</w:t>
            </w:r>
          </w:p>
        </w:tc>
      </w:tr>
      <w:tr w:rsidR="00E2341D" w:rsidRPr="00E2341D" w14:paraId="6F07CC27" w14:textId="77777777" w:rsidTr="00E23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3B2B9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Nível 1</w:t>
            </w:r>
          </w:p>
          <w:p w14:paraId="1DEC662F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(7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8E009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Cumpre parcialmente o procedimento experimental com algumas falhas na utilização e manuseamento dos materiais, reagentes e equipamentos de laboratório.</w:t>
            </w:r>
          </w:p>
          <w:p w14:paraId="02576D46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Não respeita os cuidados de segurança associados à atividade laboratorial que realiza.</w:t>
            </w:r>
          </w:p>
        </w:tc>
      </w:tr>
    </w:tbl>
    <w:p w14:paraId="5B5ADBD4" w14:textId="09A653CC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              </w:t>
      </w:r>
      <w:r w:rsidRPr="00E2341D">
        <w:rPr>
          <w:rFonts w:ascii="Tw Cen MT" w:eastAsia="Times New Roman" w:hAnsi="Tw Cen MT" w:cs="Times New Roman"/>
          <w:b/>
          <w:bCs/>
          <w:lang w:eastAsia="pt-PT"/>
        </w:rPr>
        <w:tab/>
        <w:t>Quadro 3 - Níveis de desempenho da ativida</w:t>
      </w:r>
      <w:r>
        <w:rPr>
          <w:rFonts w:ascii="Tw Cen MT" w:eastAsia="Times New Roman" w:hAnsi="Tw Cen MT" w:cs="Times New Roman"/>
          <w:b/>
          <w:bCs/>
          <w:lang w:eastAsia="pt-PT"/>
        </w:rPr>
        <w:t>d</w:t>
      </w:r>
      <w:r w:rsidRPr="00E2341D">
        <w:rPr>
          <w:rFonts w:ascii="Tw Cen MT" w:eastAsia="Times New Roman" w:hAnsi="Tw Cen MT" w:cs="Times New Roman"/>
          <w:b/>
          <w:bCs/>
          <w:lang w:eastAsia="pt-PT"/>
        </w:rPr>
        <w:t>e laboratorial</w:t>
      </w:r>
    </w:p>
    <w:p w14:paraId="47B02B62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285"/>
        <w:gridCol w:w="2123"/>
      </w:tblGrid>
      <w:tr w:rsidR="00E2341D" w:rsidRPr="00E2341D" w14:paraId="031BE231" w14:textId="77777777" w:rsidTr="00E2341D"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D207F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4966E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Cotação (em pontos)</w:t>
            </w:r>
          </w:p>
        </w:tc>
      </w:tr>
      <w:tr w:rsidR="00E2341D" w:rsidRPr="00E2341D" w14:paraId="73C40368" w14:textId="77777777" w:rsidTr="00E23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11863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Execução da atividade laboratorial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17CB7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Grelha de observação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A2E6E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30</w:t>
            </w:r>
          </w:p>
        </w:tc>
      </w:tr>
      <w:tr w:rsidR="00E2341D" w:rsidRPr="00E2341D" w14:paraId="753D5CB3" w14:textId="77777777" w:rsidTr="00E234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397A1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Relatório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CD63B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Registo de resultados</w:t>
            </w:r>
          </w:p>
          <w:p w14:paraId="26D347A3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Conclusões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00685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30</w:t>
            </w:r>
          </w:p>
          <w:p w14:paraId="6EB6C8AC" w14:textId="77777777" w:rsidR="00E2341D" w:rsidRPr="00E2341D" w:rsidRDefault="00E2341D" w:rsidP="00E2341D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E2341D">
              <w:rPr>
                <w:rFonts w:ascii="Tw Cen MT" w:eastAsia="Times New Roman" w:hAnsi="Tw Cen MT" w:cs="Times New Roman"/>
                <w:lang w:eastAsia="pt-PT"/>
              </w:rPr>
              <w:t>40</w:t>
            </w:r>
          </w:p>
        </w:tc>
      </w:tr>
    </w:tbl>
    <w:p w14:paraId="6117FF3F" w14:textId="4CE9682A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lang w:eastAsia="pt-PT"/>
        </w:rPr>
        <w:t>           Quadro 4 - Estrutura e valorização da prova prática</w:t>
      </w:r>
    </w:p>
    <w:p w14:paraId="70A7FE22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A331C0C" w14:textId="17521FB2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t>Material autorizado</w:t>
      </w:r>
    </w:p>
    <w:p w14:paraId="35C7AC96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O examinando apenas pode usar, como material de escrita, caneta ou esferográfica de tinta indelével, azul ou preta, e ser portador de calculadora científica não gráfica</w:t>
      </w:r>
    </w:p>
    <w:p w14:paraId="4834C11F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O examinando pode ser portador de material de desenho e de medida (lápis, borracha e régua graduada).</w:t>
      </w:r>
    </w:p>
    <w:p w14:paraId="2AE198CE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Não é permitido o uso de corretor.</w:t>
      </w:r>
    </w:p>
    <w:p w14:paraId="2BAFE8CF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Não é permitido o uso da Tabela Periódica dos Elementos.</w:t>
      </w:r>
    </w:p>
    <w:p w14:paraId="16831C1A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3ED9CF3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b/>
          <w:bCs/>
          <w:u w:val="single"/>
          <w:lang w:eastAsia="pt-PT"/>
        </w:rPr>
        <w:t>Duração</w:t>
      </w:r>
    </w:p>
    <w:p w14:paraId="44EE31B0" w14:textId="77777777" w:rsidR="00E2341D" w:rsidRPr="00E2341D" w:rsidRDefault="00E2341D" w:rsidP="00E2341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E2341D">
        <w:rPr>
          <w:rFonts w:ascii="Tw Cen MT" w:eastAsia="Times New Roman" w:hAnsi="Tw Cen MT" w:cs="Times New Roman"/>
          <w:lang w:eastAsia="pt-PT"/>
        </w:rPr>
        <w:t>A prova tem a duração de 90 minutos (45 minutos parte escrita, 45 minutos parte prática).</w:t>
      </w:r>
    </w:p>
    <w:p w14:paraId="1A7F63D2" w14:textId="77777777" w:rsidR="00F45B89" w:rsidRDefault="00F45B89" w:rsidP="005D016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sectPr w:rsidR="00F45B89" w:rsidSect="00F672C2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5818" w14:textId="77777777" w:rsidR="002E17F4" w:rsidRDefault="002E17F4">
      <w:pPr>
        <w:spacing w:after="0" w:line="240" w:lineRule="auto"/>
      </w:pPr>
      <w:r>
        <w:separator/>
      </w:r>
    </w:p>
  </w:endnote>
  <w:endnote w:type="continuationSeparator" w:id="0">
    <w:p w14:paraId="1375C3B1" w14:textId="77777777" w:rsidR="002E17F4" w:rsidRDefault="002E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1C9" w14:textId="78C058A5" w:rsidR="00311300" w:rsidRDefault="00C34D41" w:rsidP="00604232">
    <w:pPr>
      <w:pStyle w:val="Rodap"/>
      <w:rPr>
        <w:b/>
        <w:bCs/>
        <w:sz w:val="24"/>
        <w:szCs w:val="24"/>
      </w:rPr>
    </w:pPr>
    <w:r w:rsidRPr="00A32BB8">
      <w:t>Prova</w:t>
    </w:r>
    <w:r w:rsidR="006242AA">
      <w:t xml:space="preserve"> 11                                                     </w:t>
    </w:r>
    <w:r>
      <w:t xml:space="preserve">                                                                                                       Página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B4DEF">
      <w:rPr>
        <w:b/>
        <w:bCs/>
        <w:sz w:val="24"/>
        <w:szCs w:val="24"/>
      </w:rPr>
      <w:fldChar w:fldCharType="separate"/>
    </w:r>
    <w:r w:rsidR="00DA498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  <w:r>
      <w:t xml:space="preserve"> de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B4DEF">
      <w:rPr>
        <w:b/>
        <w:bCs/>
        <w:sz w:val="24"/>
        <w:szCs w:val="24"/>
      </w:rPr>
      <w:fldChar w:fldCharType="separate"/>
    </w:r>
    <w:r w:rsidR="00DA498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</w:p>
  <w:p w14:paraId="799AD84B" w14:textId="77777777" w:rsidR="00604232" w:rsidRDefault="00000000" w:rsidP="0060423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59A2" w14:textId="77777777" w:rsidR="002E17F4" w:rsidRDefault="002E17F4">
      <w:pPr>
        <w:spacing w:after="0" w:line="240" w:lineRule="auto"/>
      </w:pPr>
      <w:r>
        <w:separator/>
      </w:r>
    </w:p>
  </w:footnote>
  <w:footnote w:type="continuationSeparator" w:id="0">
    <w:p w14:paraId="51F77CAA" w14:textId="77777777" w:rsidR="002E17F4" w:rsidRDefault="002E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6F"/>
    <w:multiLevelType w:val="hybridMultilevel"/>
    <w:tmpl w:val="5876310E"/>
    <w:lvl w:ilvl="0" w:tplc="6980E86A">
      <w:start w:val="1"/>
      <w:numFmt w:val="bullet"/>
      <w:lvlText w:val=""/>
      <w:lvlJc w:val="left"/>
      <w:pPr>
        <w:ind w:left="373" w:hanging="25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F2C4FD8E">
      <w:start w:val="1"/>
      <w:numFmt w:val="bullet"/>
      <w:lvlText w:val="•"/>
      <w:lvlJc w:val="left"/>
      <w:pPr>
        <w:ind w:left="1274" w:hanging="253"/>
      </w:pPr>
      <w:rPr>
        <w:rFonts w:hint="default"/>
      </w:rPr>
    </w:lvl>
    <w:lvl w:ilvl="2" w:tplc="D8108552">
      <w:start w:val="1"/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3DAA2EA4">
      <w:start w:val="1"/>
      <w:numFmt w:val="bullet"/>
      <w:lvlText w:val="•"/>
      <w:lvlJc w:val="left"/>
      <w:pPr>
        <w:ind w:left="3063" w:hanging="253"/>
      </w:pPr>
      <w:rPr>
        <w:rFonts w:hint="default"/>
      </w:rPr>
    </w:lvl>
    <w:lvl w:ilvl="4" w:tplc="B19098D6">
      <w:start w:val="1"/>
      <w:numFmt w:val="bullet"/>
      <w:lvlText w:val="•"/>
      <w:lvlJc w:val="left"/>
      <w:pPr>
        <w:ind w:left="3958" w:hanging="253"/>
      </w:pPr>
      <w:rPr>
        <w:rFonts w:hint="default"/>
      </w:rPr>
    </w:lvl>
    <w:lvl w:ilvl="5" w:tplc="CA5A85D2">
      <w:start w:val="1"/>
      <w:numFmt w:val="bullet"/>
      <w:lvlText w:val="•"/>
      <w:lvlJc w:val="left"/>
      <w:pPr>
        <w:ind w:left="4852" w:hanging="253"/>
      </w:pPr>
      <w:rPr>
        <w:rFonts w:hint="default"/>
      </w:rPr>
    </w:lvl>
    <w:lvl w:ilvl="6" w:tplc="39280D3E">
      <w:start w:val="1"/>
      <w:numFmt w:val="bullet"/>
      <w:lvlText w:val="•"/>
      <w:lvlJc w:val="left"/>
      <w:pPr>
        <w:ind w:left="5747" w:hanging="253"/>
      </w:pPr>
      <w:rPr>
        <w:rFonts w:hint="default"/>
      </w:rPr>
    </w:lvl>
    <w:lvl w:ilvl="7" w:tplc="3DA6573C">
      <w:start w:val="1"/>
      <w:numFmt w:val="bullet"/>
      <w:lvlText w:val="•"/>
      <w:lvlJc w:val="left"/>
      <w:pPr>
        <w:ind w:left="6641" w:hanging="253"/>
      </w:pPr>
      <w:rPr>
        <w:rFonts w:hint="default"/>
      </w:rPr>
    </w:lvl>
    <w:lvl w:ilvl="8" w:tplc="2A2088C2">
      <w:start w:val="1"/>
      <w:numFmt w:val="bullet"/>
      <w:lvlText w:val="•"/>
      <w:lvlJc w:val="left"/>
      <w:pPr>
        <w:ind w:left="7536" w:hanging="253"/>
      </w:pPr>
      <w:rPr>
        <w:rFonts w:hint="default"/>
      </w:rPr>
    </w:lvl>
  </w:abstractNum>
  <w:abstractNum w:abstractNumId="1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55D0526C"/>
    <w:multiLevelType w:val="hybridMultilevel"/>
    <w:tmpl w:val="60700A94"/>
    <w:lvl w:ilvl="0" w:tplc="2A2C20C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614429A1"/>
    <w:multiLevelType w:val="hybridMultilevel"/>
    <w:tmpl w:val="631E01F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F3D2531"/>
    <w:multiLevelType w:val="hybridMultilevel"/>
    <w:tmpl w:val="E3909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1015">
    <w:abstractNumId w:val="2"/>
  </w:num>
  <w:num w:numId="2" w16cid:durableId="2146191250">
    <w:abstractNumId w:val="4"/>
  </w:num>
  <w:num w:numId="3" w16cid:durableId="547693545">
    <w:abstractNumId w:val="1"/>
  </w:num>
  <w:num w:numId="4" w16cid:durableId="138890568">
    <w:abstractNumId w:val="0"/>
  </w:num>
  <w:num w:numId="5" w16cid:durableId="134839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B8"/>
    <w:rsid w:val="00000337"/>
    <w:rsid w:val="00012E91"/>
    <w:rsid w:val="00024C4C"/>
    <w:rsid w:val="000554F9"/>
    <w:rsid w:val="000716C3"/>
    <w:rsid w:val="000D17FC"/>
    <w:rsid w:val="0011022F"/>
    <w:rsid w:val="001211B3"/>
    <w:rsid w:val="00136DC2"/>
    <w:rsid w:val="00152291"/>
    <w:rsid w:val="0016034E"/>
    <w:rsid w:val="00170A37"/>
    <w:rsid w:val="0017202D"/>
    <w:rsid w:val="001A350D"/>
    <w:rsid w:val="001D6520"/>
    <w:rsid w:val="001E777E"/>
    <w:rsid w:val="001F49B0"/>
    <w:rsid w:val="00227579"/>
    <w:rsid w:val="0023622C"/>
    <w:rsid w:val="00236EB4"/>
    <w:rsid w:val="00244CFA"/>
    <w:rsid w:val="00294EC2"/>
    <w:rsid w:val="002B0192"/>
    <w:rsid w:val="002D4518"/>
    <w:rsid w:val="002E17F4"/>
    <w:rsid w:val="00331ECA"/>
    <w:rsid w:val="00340C75"/>
    <w:rsid w:val="0036433D"/>
    <w:rsid w:val="00393A6B"/>
    <w:rsid w:val="003A4831"/>
    <w:rsid w:val="003A67B9"/>
    <w:rsid w:val="003B79C9"/>
    <w:rsid w:val="003C18E0"/>
    <w:rsid w:val="004043B1"/>
    <w:rsid w:val="00430F98"/>
    <w:rsid w:val="00452B47"/>
    <w:rsid w:val="004607B8"/>
    <w:rsid w:val="00464D93"/>
    <w:rsid w:val="00466109"/>
    <w:rsid w:val="004A7217"/>
    <w:rsid w:val="004B2E70"/>
    <w:rsid w:val="004B3759"/>
    <w:rsid w:val="004E50A7"/>
    <w:rsid w:val="00507F32"/>
    <w:rsid w:val="00513474"/>
    <w:rsid w:val="0054271A"/>
    <w:rsid w:val="00577A05"/>
    <w:rsid w:val="005D0166"/>
    <w:rsid w:val="005D4682"/>
    <w:rsid w:val="00602E61"/>
    <w:rsid w:val="0060779A"/>
    <w:rsid w:val="006242AA"/>
    <w:rsid w:val="00644E48"/>
    <w:rsid w:val="00647936"/>
    <w:rsid w:val="00652624"/>
    <w:rsid w:val="00662050"/>
    <w:rsid w:val="00662826"/>
    <w:rsid w:val="006B1D1F"/>
    <w:rsid w:val="006B4DEF"/>
    <w:rsid w:val="006C7906"/>
    <w:rsid w:val="006D1BF2"/>
    <w:rsid w:val="006F6387"/>
    <w:rsid w:val="006F79DE"/>
    <w:rsid w:val="007449FE"/>
    <w:rsid w:val="00753F19"/>
    <w:rsid w:val="00767F46"/>
    <w:rsid w:val="0077182B"/>
    <w:rsid w:val="00781540"/>
    <w:rsid w:val="00782DA2"/>
    <w:rsid w:val="007B3D80"/>
    <w:rsid w:val="007B7D2C"/>
    <w:rsid w:val="007D7FEA"/>
    <w:rsid w:val="007E3810"/>
    <w:rsid w:val="007E640E"/>
    <w:rsid w:val="008038EA"/>
    <w:rsid w:val="00815BA6"/>
    <w:rsid w:val="00824789"/>
    <w:rsid w:val="00836881"/>
    <w:rsid w:val="008377B2"/>
    <w:rsid w:val="00851A72"/>
    <w:rsid w:val="00870560"/>
    <w:rsid w:val="00885DBC"/>
    <w:rsid w:val="0089465A"/>
    <w:rsid w:val="008B7EBD"/>
    <w:rsid w:val="008D6231"/>
    <w:rsid w:val="008F5CD9"/>
    <w:rsid w:val="00922199"/>
    <w:rsid w:val="009A2946"/>
    <w:rsid w:val="009B049B"/>
    <w:rsid w:val="009B2D74"/>
    <w:rsid w:val="009B3469"/>
    <w:rsid w:val="009C12D6"/>
    <w:rsid w:val="009D0FFF"/>
    <w:rsid w:val="009E139D"/>
    <w:rsid w:val="009F15C2"/>
    <w:rsid w:val="009F6CA9"/>
    <w:rsid w:val="00A01923"/>
    <w:rsid w:val="00A241CE"/>
    <w:rsid w:val="00A32BB8"/>
    <w:rsid w:val="00A43001"/>
    <w:rsid w:val="00A6323F"/>
    <w:rsid w:val="00A708FC"/>
    <w:rsid w:val="00A70FD2"/>
    <w:rsid w:val="00A92E9D"/>
    <w:rsid w:val="00AA6CF0"/>
    <w:rsid w:val="00AB12E7"/>
    <w:rsid w:val="00AE4716"/>
    <w:rsid w:val="00AE4AF1"/>
    <w:rsid w:val="00AF0C84"/>
    <w:rsid w:val="00B162C5"/>
    <w:rsid w:val="00B31213"/>
    <w:rsid w:val="00B36532"/>
    <w:rsid w:val="00B50913"/>
    <w:rsid w:val="00B63563"/>
    <w:rsid w:val="00B6561F"/>
    <w:rsid w:val="00B84727"/>
    <w:rsid w:val="00BD20A6"/>
    <w:rsid w:val="00C213F5"/>
    <w:rsid w:val="00C219AA"/>
    <w:rsid w:val="00C23BA9"/>
    <w:rsid w:val="00C24598"/>
    <w:rsid w:val="00C34D41"/>
    <w:rsid w:val="00C35CF3"/>
    <w:rsid w:val="00C55A56"/>
    <w:rsid w:val="00C777B5"/>
    <w:rsid w:val="00CB0856"/>
    <w:rsid w:val="00CD42DC"/>
    <w:rsid w:val="00CE1349"/>
    <w:rsid w:val="00CE75BD"/>
    <w:rsid w:val="00D14DD5"/>
    <w:rsid w:val="00D54370"/>
    <w:rsid w:val="00DA4988"/>
    <w:rsid w:val="00DB33A7"/>
    <w:rsid w:val="00DB52A3"/>
    <w:rsid w:val="00DD7B6F"/>
    <w:rsid w:val="00E06030"/>
    <w:rsid w:val="00E2341D"/>
    <w:rsid w:val="00E3248F"/>
    <w:rsid w:val="00E46CAB"/>
    <w:rsid w:val="00E52C9A"/>
    <w:rsid w:val="00EA7459"/>
    <w:rsid w:val="00EE5289"/>
    <w:rsid w:val="00F10F80"/>
    <w:rsid w:val="00F16AD8"/>
    <w:rsid w:val="00F27B47"/>
    <w:rsid w:val="00F45B89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F69"/>
  <w15:docId w15:val="{88C9BA22-AB79-4E5F-B641-89C529E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4D41"/>
  </w:style>
  <w:style w:type="paragraph" w:styleId="Rodap">
    <w:name w:val="footer"/>
    <w:basedOn w:val="Normal"/>
    <w:link w:val="Rodap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4D41"/>
  </w:style>
  <w:style w:type="table" w:styleId="TabelacomGrelha">
    <w:name w:val="Table Grid"/>
    <w:basedOn w:val="Tabelanormal"/>
    <w:uiPriority w:val="39"/>
    <w:rsid w:val="004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7B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2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2E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2E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2E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2E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2E91"/>
    <w:rPr>
      <w:b/>
      <w:bCs/>
      <w:sz w:val="20"/>
      <w:szCs w:val="20"/>
    </w:rPr>
  </w:style>
  <w:style w:type="character" w:customStyle="1" w:styleId="TextodecomentrioCarcter">
    <w:name w:val="Texto de comentário Carácter"/>
    <w:uiPriority w:val="99"/>
    <w:semiHidden/>
    <w:rsid w:val="00071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828">
          <w:marLeft w:val="-7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546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17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98">
          <w:marLeft w:val="-7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09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905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31B5-A1DA-4A1D-B59B-06FCA861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1753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Maria Lopes Aguiar</dc:creator>
  <cp:lastModifiedBy>Catarina Alves Sardinha</cp:lastModifiedBy>
  <cp:revision>4</cp:revision>
  <cp:lastPrinted>2023-05-18T15:23:00Z</cp:lastPrinted>
  <dcterms:created xsi:type="dcterms:W3CDTF">2023-04-19T09:48:00Z</dcterms:created>
  <dcterms:modified xsi:type="dcterms:W3CDTF">2023-05-18T15:23:00Z</dcterms:modified>
</cp:coreProperties>
</file>