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848" w14:textId="0688FE37" w:rsidR="00C34D41" w:rsidRPr="00C34D41" w:rsidRDefault="005D0166" w:rsidP="00C34D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4D41">
        <w:rPr>
          <w:rFonts w:ascii="Calibri" w:eastAsia="Calibri" w:hAnsi="Calibri" w:cs="Times New Roman"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7C6D28C7" wp14:editId="0A1BC514">
            <wp:simplePos x="0" y="0"/>
            <wp:positionH relativeFrom="margin">
              <wp:posOffset>4908797</wp:posOffset>
            </wp:positionH>
            <wp:positionV relativeFrom="paragraph">
              <wp:posOffset>-557655</wp:posOffset>
            </wp:positionV>
            <wp:extent cx="1078346" cy="715352"/>
            <wp:effectExtent l="0" t="0" r="7620" b="8890"/>
            <wp:wrapNone/>
            <wp:docPr id="4" name="Imagem 4" descr="http://www.ebiah.edu.pt/portaleb23ah/Portals/0/Noticias/14-15/imagem_prosuc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ebiah.edu.pt/portaleb23ah/Portals/0/Noticias/14-15/imagem_prosuce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28" cy="7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89">
        <w:rPr>
          <w:noProof/>
          <w:lang w:eastAsia="pt-PT"/>
        </w:rPr>
        <w:drawing>
          <wp:anchor distT="0" distB="0" distL="114300" distR="114300" simplePos="0" relativeHeight="251664384" behindDoc="0" locked="0" layoutInCell="1" allowOverlap="1" wp14:anchorId="4F8997CC" wp14:editId="67C37BA1">
            <wp:simplePos x="0" y="0"/>
            <wp:positionH relativeFrom="column">
              <wp:posOffset>208280</wp:posOffset>
            </wp:positionH>
            <wp:positionV relativeFrom="paragraph">
              <wp:posOffset>-505097</wp:posOffset>
            </wp:positionV>
            <wp:extent cx="1532918" cy="762604"/>
            <wp:effectExtent l="0" t="0" r="0" b="0"/>
            <wp:wrapNone/>
            <wp:docPr id="1027221884" name="Imagem 1" descr="Portal da Educação - Direção Regional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1884" name="Imagem 1" descr="Portal da Educação - Direção Regional da Educaçã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8" cy="7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04F5" w14:textId="77777777" w:rsidR="00C34D41" w:rsidRPr="00A92E9D" w:rsidRDefault="00C34D41" w:rsidP="00885DBC">
      <w:pPr>
        <w:widowControl w:val="0"/>
        <w:tabs>
          <w:tab w:val="left" w:pos="2880"/>
          <w:tab w:val="left" w:pos="6568"/>
        </w:tabs>
        <w:spacing w:before="240" w:after="0" w:line="360" w:lineRule="auto"/>
        <w:rPr>
          <w:rFonts w:ascii="Tw Cen MT" w:eastAsia="Trebuchet MS" w:hAnsi="Tw Cen MT" w:cs="Trebuchet MS"/>
          <w:spacing w:val="98"/>
          <w:sz w:val="20"/>
        </w:rPr>
      </w:pP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INFORMAÇÃO </w:t>
      </w:r>
      <w:r w:rsidR="00B36532" w:rsidRPr="00A92E9D">
        <w:rPr>
          <w:rFonts w:ascii="Tw Cen MT" w:eastAsia="Times New Roman" w:hAnsi="Tw Cen MT" w:cs="Trebuchet MS"/>
          <w:sz w:val="24"/>
          <w:lang w:eastAsia="pt-PT"/>
        </w:rPr>
        <w:t>-</w:t>
      </w:r>
      <w:r w:rsidRPr="00A92E9D">
        <w:rPr>
          <w:rFonts w:ascii="Tw Cen MT" w:eastAsia="Times New Roman" w:hAnsi="Tw Cen MT" w:cs="Trebuchet MS"/>
          <w:sz w:val="24"/>
          <w:lang w:eastAsia="pt-PT"/>
        </w:rPr>
        <w:t xml:space="preserve"> PROVA </w:t>
      </w:r>
      <w:r w:rsidR="00340C75" w:rsidRPr="00A92E9D">
        <w:rPr>
          <w:rFonts w:ascii="Tw Cen MT" w:eastAsia="Times New Roman" w:hAnsi="Tw Cen MT" w:cs="Trebuchet MS"/>
          <w:sz w:val="24"/>
          <w:lang w:eastAsia="pt-PT"/>
        </w:rPr>
        <w:t>DE EQUIVALÊNCIA À FREQUÊNCIA</w:t>
      </w:r>
    </w:p>
    <w:p w14:paraId="5AF9D377" w14:textId="173A28B9" w:rsidR="00C34D41" w:rsidRPr="00A92E9D" w:rsidRDefault="00AE4716" w:rsidP="00C34D41">
      <w:pPr>
        <w:autoSpaceDE w:val="0"/>
        <w:autoSpaceDN w:val="0"/>
        <w:adjustRightInd w:val="0"/>
        <w:spacing w:after="20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45B89">
        <w:rPr>
          <w:rFonts w:ascii="Calibri" w:eastAsia="Calibri" w:hAnsi="Calibri" w:cs="Times New Roman"/>
          <w:noProof/>
          <w:sz w:val="30"/>
          <w:szCs w:val="30"/>
          <w:highlight w:val="yellow"/>
          <w:lang w:eastAsia="pt-PT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11647A7" wp14:editId="12A45DDA">
                <wp:simplePos x="0" y="0"/>
                <wp:positionH relativeFrom="column">
                  <wp:posOffset>3175</wp:posOffset>
                </wp:positionH>
                <wp:positionV relativeFrom="paragraph">
                  <wp:posOffset>253999</wp:posOffset>
                </wp:positionV>
                <wp:extent cx="6278245" cy="0"/>
                <wp:effectExtent l="0" t="0" r="0" b="0"/>
                <wp:wrapNone/>
                <wp:docPr id="1" name="Conexão reta unidireci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67D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" o:spid="_x0000_s1026" type="#_x0000_t32" style="position:absolute;margin-left:.25pt;margin-top:20pt;width:494.3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" strokeweight="2.25pt"/>
            </w:pict>
          </mc:Fallback>
        </mc:AlternateContent>
      </w:r>
      <w:r w:rsidR="00337BD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>PORTUGUÊS</w:t>
      </w:r>
      <w:r w:rsidR="00CE75BD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</w:r>
      <w:r w:rsidR="00C34D41" w:rsidRPr="00A92E9D">
        <w:rPr>
          <w:rFonts w:ascii="Tw Cen MT" w:eastAsia="Times New Roman" w:hAnsi="Tw Cen MT" w:cs="TrebuchetMS-Bold"/>
          <w:b/>
          <w:bCs/>
          <w:sz w:val="30"/>
          <w:szCs w:val="30"/>
          <w:lang w:eastAsia="pt-PT"/>
        </w:rPr>
        <w:tab/>
        <w:t xml:space="preserve">                  </w:t>
      </w:r>
    </w:p>
    <w:p w14:paraId="3D32595E" w14:textId="237F8F70" w:rsidR="00C34D41" w:rsidRPr="00A92E9D" w:rsidRDefault="00C34D41" w:rsidP="00B36532">
      <w:pPr>
        <w:pBdr>
          <w:bottom w:val="dashed" w:sz="4" w:space="1" w:color="auto"/>
        </w:pBdr>
        <w:tabs>
          <w:tab w:val="right" w:pos="10642"/>
        </w:tabs>
        <w:autoSpaceDE w:val="0"/>
        <w:autoSpaceDN w:val="0"/>
        <w:adjustRightInd w:val="0"/>
        <w:spacing w:before="240" w:after="200" w:line="360" w:lineRule="auto"/>
        <w:ind w:right="-176"/>
        <w:rPr>
          <w:rFonts w:ascii="Tw Cen MT" w:eastAsia="Times New Roman" w:hAnsi="Tw Cen MT" w:cs="TrebuchetMS-Bold"/>
          <w:b/>
          <w:bCs/>
          <w:szCs w:val="20"/>
          <w:lang w:eastAsia="pt-PT"/>
        </w:rPr>
      </w:pPr>
      <w:r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Prova </w:t>
      </w:r>
      <w:r w:rsidR="00337BDD">
        <w:rPr>
          <w:rFonts w:ascii="Tw Cen MT" w:eastAsia="Times New Roman" w:hAnsi="Tw Cen MT" w:cs="TrebuchetMS-Bold"/>
          <w:b/>
          <w:bCs/>
          <w:szCs w:val="20"/>
          <w:lang w:eastAsia="pt-PT"/>
        </w:rPr>
        <w:t>91</w:t>
      </w:r>
      <w:r w:rsidR="00647936" w:rsidRPr="00A92E9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 </w:t>
      </w:r>
      <w:r w:rsidR="00337BDD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(Prova </w:t>
      </w:r>
      <w:proofErr w:type="gramStart"/>
      <w:r w:rsidR="00337BDD">
        <w:rPr>
          <w:rFonts w:ascii="Tw Cen MT" w:eastAsia="Times New Roman" w:hAnsi="Tw Cen MT" w:cs="TrebuchetMS-Bold"/>
          <w:b/>
          <w:bCs/>
          <w:szCs w:val="20"/>
          <w:lang w:eastAsia="pt-PT"/>
        </w:rPr>
        <w:t>Oral)</w:t>
      </w:r>
      <w:r w:rsidR="00647936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|</w:t>
      </w:r>
      <w:proofErr w:type="gramEnd"/>
      <w:r w:rsidR="00647936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 xml:space="preserve"> 20</w:t>
      </w:r>
      <w:r w:rsidR="007E640E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2</w:t>
      </w:r>
      <w:r w:rsidR="00644E48" w:rsidRPr="00644E48">
        <w:rPr>
          <w:rFonts w:ascii="Tw Cen MT" w:eastAsia="Times New Roman" w:hAnsi="Tw Cen MT" w:cs="TrebuchetMS-Bold"/>
          <w:b/>
          <w:bCs/>
          <w:szCs w:val="20"/>
          <w:lang w:eastAsia="pt-PT"/>
        </w:rPr>
        <w:t>3</w:t>
      </w:r>
    </w:p>
    <w:p w14:paraId="4F9B3C85" w14:textId="65D962D9" w:rsidR="00C34D41" w:rsidRPr="00A92E9D" w:rsidRDefault="00AE4716" w:rsidP="00C34D41">
      <w:pPr>
        <w:autoSpaceDE w:val="0"/>
        <w:autoSpaceDN w:val="0"/>
        <w:adjustRightInd w:val="0"/>
        <w:spacing w:after="200" w:line="276" w:lineRule="auto"/>
        <w:rPr>
          <w:rFonts w:ascii="Tw Cen MT" w:eastAsia="Times New Roman" w:hAnsi="Tw Cen MT" w:cs="TrebuchetMS-Bold"/>
          <w:b/>
          <w:bCs/>
          <w:sz w:val="20"/>
          <w:szCs w:val="20"/>
          <w:lang w:eastAsia="pt-PT"/>
        </w:rPr>
      </w:pPr>
      <w:r w:rsidRPr="00F45B89">
        <w:rPr>
          <w:rFonts w:ascii="Calibri" w:eastAsia="Calibri" w:hAnsi="Calibri" w:cs="Times New Roman"/>
          <w:noProof/>
          <w:highlight w:val="yellow"/>
          <w:lang w:eastAsia="pt-PT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EC78451" wp14:editId="5CD345C1">
                <wp:simplePos x="0" y="0"/>
                <wp:positionH relativeFrom="margin">
                  <wp:posOffset>19050</wp:posOffset>
                </wp:positionH>
                <wp:positionV relativeFrom="page">
                  <wp:posOffset>2457450</wp:posOffset>
                </wp:positionV>
                <wp:extent cx="6291580" cy="31750"/>
                <wp:effectExtent l="0" t="0" r="7620" b="19050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1580" cy="31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AEB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073CE" id="Conexão reta 3" o:spid="_x0000_s1026" style="position:absolute;flip:y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1.5pt,193.5pt" to="496.9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" strokecolor="#2aebff" strokeweight="2pt">
                <v:stroke joinstyle="miter"/>
                <w10:wrap anchorx="margin" anchory="page"/>
              </v:line>
            </w:pict>
          </mc:Fallback>
        </mc:AlternateContent>
      </w:r>
      <w:r w:rsidR="00337BDD">
        <w:rPr>
          <w:rFonts w:ascii="Tw Cen MT" w:eastAsia="Times New Roman" w:hAnsi="Tw Cen MT" w:cs="TrebuchetMS"/>
          <w:sz w:val="24"/>
          <w:szCs w:val="24"/>
          <w:lang w:eastAsia="pt-PT"/>
        </w:rPr>
        <w:t>3</w:t>
      </w:r>
      <w:r w:rsidR="00C34D41" w:rsidRPr="00A92E9D">
        <w:rPr>
          <w:rFonts w:ascii="Tw Cen MT" w:eastAsia="Times New Roman" w:hAnsi="Tw Cen MT" w:cs="TrebuchetMS"/>
          <w:sz w:val="24"/>
          <w:szCs w:val="24"/>
          <w:lang w:eastAsia="pt-PT"/>
        </w:rPr>
        <w:t>.º Ciclo do Ensino Básico</w:t>
      </w:r>
    </w:p>
    <w:p w14:paraId="248AF023" w14:textId="77777777" w:rsidR="00337BDD" w:rsidRPr="00337BDD" w:rsidRDefault="00337BDD" w:rsidP="00337BDD">
      <w:pPr>
        <w:autoSpaceDE w:val="0"/>
        <w:autoSpaceDN w:val="0"/>
        <w:adjustRightInd w:val="0"/>
        <w:spacing w:line="360" w:lineRule="auto"/>
        <w:rPr>
          <w:rFonts w:ascii="Tw Cen MT" w:eastAsia="Times New Roman" w:hAnsi="Tw Cen MT" w:cs="TrebuchetMS-Bold"/>
          <w:b/>
          <w:bCs/>
          <w:sz w:val="20"/>
          <w:szCs w:val="20"/>
        </w:rPr>
      </w:pPr>
    </w:p>
    <w:p w14:paraId="012B2AA9" w14:textId="77777777" w:rsidR="00337BDD" w:rsidRPr="00337BDD" w:rsidRDefault="00337BDD" w:rsidP="00337BDD">
      <w:pPr>
        <w:widowControl w:val="0"/>
        <w:autoSpaceDE w:val="0"/>
        <w:autoSpaceDN w:val="0"/>
        <w:adjustRightInd w:val="0"/>
        <w:spacing w:after="0" w:line="360" w:lineRule="auto"/>
        <w:ind w:right="1315"/>
        <w:rPr>
          <w:rFonts w:ascii="Tw Cen MT" w:hAnsi="Tw Cen MT" w:cs="Lucida Sans"/>
          <w:b/>
          <w:bCs/>
          <w:color w:val="000000"/>
          <w:spacing w:val="-5"/>
          <w:szCs w:val="24"/>
        </w:rPr>
      </w:pPr>
    </w:p>
    <w:p w14:paraId="701054DB" w14:textId="77777777" w:rsidR="00337BDD" w:rsidRPr="00337BDD" w:rsidRDefault="00337BDD" w:rsidP="00337BDD">
      <w:pPr>
        <w:widowControl w:val="0"/>
        <w:autoSpaceDE w:val="0"/>
        <w:autoSpaceDN w:val="0"/>
        <w:adjustRightInd w:val="0"/>
        <w:spacing w:after="0" w:line="360" w:lineRule="auto"/>
        <w:ind w:right="1315"/>
        <w:rPr>
          <w:rFonts w:ascii="Tw Cen MT" w:hAnsi="Tw Cen MT" w:cs="Lucida Sans"/>
          <w:b/>
          <w:bCs/>
          <w:color w:val="000000"/>
          <w:spacing w:val="-5"/>
          <w:szCs w:val="24"/>
        </w:rPr>
      </w:pPr>
      <w:r w:rsidRPr="00337BDD">
        <w:rPr>
          <w:rFonts w:ascii="Tw Cen MT" w:hAnsi="Tw Cen MT" w:cs="Lucida Sans"/>
          <w:b/>
          <w:bCs/>
          <w:color w:val="000000"/>
          <w:spacing w:val="-5"/>
          <w:szCs w:val="24"/>
        </w:rPr>
        <w:t>Introdução</w:t>
      </w:r>
    </w:p>
    <w:p w14:paraId="3D944FFE" w14:textId="77777777" w:rsidR="00337BDD" w:rsidRPr="00337BDD" w:rsidRDefault="00337BDD" w:rsidP="00337BDD">
      <w:pPr>
        <w:widowControl w:val="0"/>
        <w:autoSpaceDE w:val="0"/>
        <w:autoSpaceDN w:val="0"/>
        <w:adjustRightInd w:val="0"/>
        <w:spacing w:after="0" w:line="360" w:lineRule="auto"/>
        <w:ind w:right="1315"/>
        <w:rPr>
          <w:rFonts w:ascii="Tw Cen MT" w:hAnsi="Tw Cen MT" w:cs="Georgia"/>
          <w:color w:val="000000"/>
          <w:szCs w:val="20"/>
        </w:rPr>
      </w:pPr>
    </w:p>
    <w:p w14:paraId="7DCDA101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O presente documento visa divulgar as características da prova oral da prova de equivalência à frequência do 3.º ciclo do ensino básico da disciplina de Português.</w:t>
      </w:r>
    </w:p>
    <w:p w14:paraId="54A6AC7B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 xml:space="preserve">As informações apresentadas neste documento não dispensam a consulta da legislação, bem como do referencial-base das </w:t>
      </w:r>
      <w:r w:rsidRPr="00337BDD">
        <w:rPr>
          <w:rFonts w:ascii="Tw Cen MT" w:hAnsi="Tw Cen MT" w:cs="LucidaSans-Demi"/>
          <w:i/>
          <w:iCs/>
          <w:szCs w:val="24"/>
        </w:rPr>
        <w:t>Aprendizagens Essenciais de Português</w:t>
      </w:r>
      <w:r w:rsidRPr="00337BDD">
        <w:rPr>
          <w:rFonts w:ascii="Tw Cen MT" w:hAnsi="Tw Cen MT" w:cs="LucidaSans-Demi"/>
          <w:szCs w:val="24"/>
        </w:rPr>
        <w:t xml:space="preserve">, com especial enfoque nas áreas de competência inscritas no </w:t>
      </w:r>
      <w:r w:rsidRPr="00337BDD">
        <w:rPr>
          <w:rFonts w:ascii="Tw Cen MT" w:hAnsi="Tw Cen MT" w:cs="LucidaSans-Demi"/>
          <w:i/>
          <w:iCs/>
          <w:szCs w:val="24"/>
        </w:rPr>
        <w:t>Perfil dos Alunos à Saída da Escolaridade Obrigatória</w:t>
      </w:r>
      <w:r w:rsidRPr="00337BDD">
        <w:rPr>
          <w:rFonts w:ascii="Tw Cen MT" w:hAnsi="Tw Cen MT" w:cs="LucidaSans-Demi"/>
          <w:szCs w:val="24"/>
        </w:rPr>
        <w:t>.</w:t>
      </w:r>
    </w:p>
    <w:p w14:paraId="1933D41C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Georgia"/>
          <w:szCs w:val="20"/>
        </w:rPr>
      </w:pPr>
    </w:p>
    <w:p w14:paraId="745CFF73" w14:textId="4DD2BCA4" w:rsidR="00337BDD" w:rsidRPr="00337BDD" w:rsidRDefault="00337BDD" w:rsidP="00337B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5"/>
        <w:jc w:val="both"/>
        <w:rPr>
          <w:rFonts w:ascii="Tw Cen MT" w:eastAsia="Twentieth Century" w:hAnsi="Tw Cen MT" w:cs="Twentieth Century"/>
          <w:color w:val="000000"/>
        </w:rPr>
      </w:pPr>
      <w:r w:rsidRPr="00337BDD">
        <w:rPr>
          <w:rFonts w:ascii="Tw Cen MT" w:eastAsia="Twentieth Century" w:hAnsi="Tw Cen MT" w:cs="Twentieth Century"/>
          <w:color w:val="000000"/>
        </w:rPr>
        <w:t>Deve ainda ser tida em consideração a Portaria n.º 59/2019, de 28 de agosto</w:t>
      </w:r>
      <w:r>
        <w:rPr>
          <w:rFonts w:ascii="Tw Cen MT" w:eastAsia="Twentieth Century" w:hAnsi="Tw Cen MT" w:cs="Twentieth Century"/>
          <w:color w:val="000000"/>
        </w:rPr>
        <w:t>,</w:t>
      </w:r>
      <w:r w:rsidRPr="00337BDD">
        <w:rPr>
          <w:rFonts w:ascii="Tw Cen MT" w:eastAsia="Twentieth Century" w:hAnsi="Tw Cen MT" w:cs="Twentieth Century"/>
          <w:color w:val="000000"/>
        </w:rPr>
        <w:t xml:space="preserve"> e o Despacho Normativo n.º 4</w:t>
      </w:r>
      <w:r>
        <w:rPr>
          <w:rFonts w:ascii="Tw Cen MT" w:eastAsia="Twentieth Century" w:hAnsi="Tw Cen MT" w:cs="Twentieth Century"/>
          <w:color w:val="000000"/>
        </w:rPr>
        <w:t>-</w:t>
      </w:r>
      <w:r w:rsidRPr="00337BDD">
        <w:rPr>
          <w:rFonts w:ascii="Tw Cen MT" w:eastAsia="Twentieth Century" w:hAnsi="Tw Cen MT" w:cs="Twentieth Century"/>
          <w:color w:val="000000"/>
        </w:rPr>
        <w:t>B/2023, de 3 de abril.</w:t>
      </w:r>
    </w:p>
    <w:p w14:paraId="2EC0D158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Georgia"/>
          <w:szCs w:val="20"/>
        </w:rPr>
      </w:pPr>
    </w:p>
    <w:p w14:paraId="362BEC78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Georgia"/>
          <w:szCs w:val="20"/>
        </w:rPr>
      </w:pPr>
      <w:r w:rsidRPr="00337BDD">
        <w:rPr>
          <w:rFonts w:ascii="Tw Cen MT" w:hAnsi="Tw Cen MT" w:cs="Georgia"/>
          <w:szCs w:val="20"/>
        </w:rPr>
        <w:t>O presente documento dá a conhecer os seguintes aspetos relativos à prova:</w:t>
      </w:r>
    </w:p>
    <w:p w14:paraId="4E1B86B8" w14:textId="4CA2EEB0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Georgia"/>
          <w:szCs w:val="20"/>
        </w:rPr>
      </w:pPr>
      <w:r w:rsidRPr="00337BDD">
        <w:rPr>
          <w:rFonts w:ascii="Tw Cen MT" w:hAnsi="Tw Cen MT" w:cs="Georgia"/>
          <w:szCs w:val="20"/>
        </w:rPr>
        <w:t>• Objeto de avaliação</w:t>
      </w:r>
    </w:p>
    <w:p w14:paraId="110C137E" w14:textId="21ABBDF1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Georgia"/>
          <w:szCs w:val="20"/>
        </w:rPr>
      </w:pPr>
      <w:r w:rsidRPr="00337BDD">
        <w:rPr>
          <w:rFonts w:ascii="Tw Cen MT" w:hAnsi="Tw Cen MT" w:cs="Georgia"/>
          <w:szCs w:val="20"/>
        </w:rPr>
        <w:t>• Características e estrutura</w:t>
      </w:r>
    </w:p>
    <w:p w14:paraId="175489AA" w14:textId="54A27E85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Georgia"/>
          <w:szCs w:val="20"/>
        </w:rPr>
      </w:pPr>
      <w:r w:rsidRPr="00337BDD">
        <w:rPr>
          <w:rFonts w:ascii="Tw Cen MT" w:hAnsi="Tw Cen MT" w:cs="Georgia"/>
          <w:szCs w:val="20"/>
        </w:rPr>
        <w:t>• Critérios de classificação</w:t>
      </w:r>
    </w:p>
    <w:p w14:paraId="2131FDC6" w14:textId="78DCA874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Georgia"/>
          <w:szCs w:val="20"/>
        </w:rPr>
      </w:pPr>
      <w:r w:rsidRPr="00337BDD">
        <w:rPr>
          <w:rFonts w:ascii="Tw Cen MT" w:hAnsi="Tw Cen MT" w:cs="Georgia"/>
          <w:szCs w:val="20"/>
        </w:rPr>
        <w:t>• Material</w:t>
      </w:r>
    </w:p>
    <w:p w14:paraId="15E1658E" w14:textId="443758CF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Georgia"/>
          <w:szCs w:val="20"/>
        </w:rPr>
      </w:pPr>
      <w:r w:rsidRPr="00337BDD">
        <w:rPr>
          <w:rFonts w:ascii="Tw Cen MT" w:hAnsi="Tw Cen MT" w:cs="Georgia"/>
          <w:szCs w:val="20"/>
        </w:rPr>
        <w:t>• Duração</w:t>
      </w:r>
    </w:p>
    <w:p w14:paraId="0301BD26" w14:textId="77777777" w:rsidR="00337BDD" w:rsidRPr="00337BDD" w:rsidRDefault="00337BDD" w:rsidP="00337BDD">
      <w:pPr>
        <w:widowControl w:val="0"/>
        <w:autoSpaceDE w:val="0"/>
        <w:autoSpaceDN w:val="0"/>
        <w:adjustRightInd w:val="0"/>
        <w:spacing w:before="268" w:after="0" w:line="360" w:lineRule="auto"/>
        <w:rPr>
          <w:rFonts w:ascii="Tw Cen MT" w:hAnsi="Tw Cen MT" w:cs="Times New Roman"/>
          <w:szCs w:val="24"/>
        </w:rPr>
      </w:pPr>
    </w:p>
    <w:p w14:paraId="74C215FF" w14:textId="77777777" w:rsidR="00337BDD" w:rsidRPr="00337BDD" w:rsidRDefault="00337BDD" w:rsidP="00337BDD">
      <w:pPr>
        <w:widowControl w:val="0"/>
        <w:autoSpaceDE w:val="0"/>
        <w:autoSpaceDN w:val="0"/>
        <w:adjustRightInd w:val="0"/>
        <w:spacing w:after="0" w:line="360" w:lineRule="auto"/>
        <w:ind w:right="1315"/>
        <w:rPr>
          <w:rFonts w:ascii="Tw Cen MT" w:hAnsi="Tw Cen MT" w:cs="Lucida Sans"/>
          <w:b/>
          <w:bCs/>
          <w:color w:val="000000"/>
          <w:spacing w:val="-5"/>
          <w:szCs w:val="24"/>
        </w:rPr>
      </w:pPr>
      <w:r w:rsidRPr="00337BDD">
        <w:rPr>
          <w:rFonts w:ascii="Tw Cen MT" w:hAnsi="Tw Cen MT" w:cs="Lucida Sans"/>
          <w:b/>
          <w:bCs/>
          <w:color w:val="000000"/>
          <w:spacing w:val="-5"/>
          <w:szCs w:val="24"/>
        </w:rPr>
        <w:t>Objeto de avaliação</w:t>
      </w:r>
    </w:p>
    <w:p w14:paraId="54D2C482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</w:p>
    <w:p w14:paraId="34C99D26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 xml:space="preserve">A prova tem por referência o </w:t>
      </w:r>
      <w:r w:rsidRPr="00337BDD">
        <w:rPr>
          <w:rFonts w:ascii="Tw Cen MT" w:hAnsi="Tw Cen MT" w:cs="LucidaSans-Demi"/>
          <w:i/>
          <w:iCs/>
          <w:szCs w:val="24"/>
        </w:rPr>
        <w:t>Perfil dos Alunos à Saída da Escolaridade Obrigatória</w:t>
      </w:r>
      <w:r w:rsidRPr="00337BDD">
        <w:rPr>
          <w:rFonts w:ascii="Tw Cen MT" w:hAnsi="Tw Cen MT" w:cs="LucidaSans-Demi"/>
          <w:szCs w:val="24"/>
        </w:rPr>
        <w:t xml:space="preserve">, as </w:t>
      </w:r>
      <w:r w:rsidRPr="00337BDD">
        <w:rPr>
          <w:rFonts w:ascii="Tw Cen MT" w:hAnsi="Tw Cen MT" w:cs="LucidaSans-Demi"/>
          <w:i/>
          <w:iCs/>
          <w:szCs w:val="24"/>
        </w:rPr>
        <w:t>Aprendizagens Essenciais de Português do Ensino Básico</w:t>
      </w:r>
      <w:r w:rsidRPr="00337BDD">
        <w:rPr>
          <w:rFonts w:ascii="Tw Cen MT" w:hAnsi="Tw Cen MT" w:cs="LucidaSans-Demi"/>
          <w:szCs w:val="24"/>
        </w:rPr>
        <w:t xml:space="preserve"> e permite avaliar a aprendizagem passível de avaliação numa prova oral de duração limitada, nos domínios da Leitura e Educação Literária e da Expressão Oral.</w:t>
      </w:r>
    </w:p>
    <w:p w14:paraId="359E8030" w14:textId="77777777" w:rsidR="00337BDD" w:rsidRPr="00337BDD" w:rsidRDefault="00337BDD" w:rsidP="00337BDD">
      <w:pPr>
        <w:widowControl w:val="0"/>
        <w:autoSpaceDE w:val="0"/>
        <w:autoSpaceDN w:val="0"/>
        <w:adjustRightInd w:val="0"/>
        <w:spacing w:before="547" w:after="0" w:line="360" w:lineRule="auto"/>
        <w:rPr>
          <w:rFonts w:ascii="Tw Cen MT" w:hAnsi="Tw Cen MT" w:cs="Lucida Sans"/>
          <w:b/>
          <w:bCs/>
          <w:color w:val="000000"/>
          <w:spacing w:val="-3"/>
          <w:szCs w:val="24"/>
        </w:rPr>
      </w:pPr>
      <w:r w:rsidRPr="00337BDD">
        <w:rPr>
          <w:rFonts w:ascii="Tw Cen MT" w:hAnsi="Tw Cen MT" w:cs="Lucida Sans"/>
          <w:b/>
          <w:bCs/>
          <w:color w:val="000000"/>
          <w:spacing w:val="-3"/>
          <w:szCs w:val="24"/>
        </w:rPr>
        <w:t xml:space="preserve">Características e estrutura </w:t>
      </w:r>
    </w:p>
    <w:p w14:paraId="1CA892EC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</w:p>
    <w:p w14:paraId="0A192747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O aluno realiza a prova oralmente, com recurso a suporte textual.</w:t>
      </w:r>
    </w:p>
    <w:p w14:paraId="02048379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lastRenderedPageBreak/>
        <w:t>A prova é constituída por duas partes, com a cotação igualmente repartida.</w:t>
      </w:r>
    </w:p>
    <w:p w14:paraId="023460AC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Na primeira parte, é avaliada a aprendizagem no domínio da Leitura e Educação Literária.</w:t>
      </w:r>
    </w:p>
    <w:p w14:paraId="2E6D644E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Na segunda parte, será avaliada a capacidade de o aluno produzir textos orais corretos, usando vocabulário e estruturas gramaticais diversificadas e recorrendo a mecanismos de coesão e de coerência discursiva.</w:t>
      </w:r>
    </w:p>
    <w:p w14:paraId="35ADC931" w14:textId="77777777" w:rsidR="00337BDD" w:rsidRPr="00337BDD" w:rsidRDefault="00337BDD" w:rsidP="00337BDD">
      <w:pPr>
        <w:spacing w:after="0" w:line="360" w:lineRule="auto"/>
        <w:jc w:val="both"/>
        <w:rPr>
          <w:rFonts w:ascii="Tw Cen MT" w:eastAsia="Times New Roman" w:hAnsi="Tw Cen MT" w:cs="Arial"/>
          <w:szCs w:val="24"/>
        </w:rPr>
      </w:pPr>
    </w:p>
    <w:p w14:paraId="670C2C39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A estrutura da prova sintetiza-se no Quadro 1.</w:t>
      </w:r>
    </w:p>
    <w:p w14:paraId="5909753A" w14:textId="77777777" w:rsidR="00337BDD" w:rsidRPr="00337BDD" w:rsidRDefault="00337BDD" w:rsidP="00337BDD">
      <w:pPr>
        <w:spacing w:line="360" w:lineRule="auto"/>
        <w:rPr>
          <w:rFonts w:ascii="Tw Cen MT" w:eastAsia="Twentieth Century" w:hAnsi="Tw Cen MT"/>
        </w:rPr>
      </w:pPr>
    </w:p>
    <w:p w14:paraId="5AE308D6" w14:textId="77777777" w:rsidR="00337BDD" w:rsidRPr="00337BDD" w:rsidRDefault="00337BDD" w:rsidP="00337BDD">
      <w:pPr>
        <w:spacing w:line="360" w:lineRule="auto"/>
        <w:jc w:val="center"/>
        <w:rPr>
          <w:rFonts w:ascii="Tw Cen MT" w:eastAsia="Twentieth Century" w:hAnsi="Tw Cen MT"/>
        </w:rPr>
      </w:pPr>
      <w:r w:rsidRPr="00337BDD">
        <w:rPr>
          <w:rFonts w:ascii="Tw Cen MT" w:eastAsia="Twentieth Century" w:hAnsi="Tw Cen MT"/>
          <w:b/>
        </w:rPr>
        <w:t>Quadro 1 – Estrutura da prova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095"/>
        <w:gridCol w:w="2127"/>
      </w:tblGrid>
      <w:tr w:rsidR="00337BDD" w:rsidRPr="00337BDD" w14:paraId="674A608C" w14:textId="77777777" w:rsidTr="00C00E67">
        <w:tc>
          <w:tcPr>
            <w:tcW w:w="1560" w:type="dxa"/>
            <w:shd w:val="clear" w:color="auto" w:fill="auto"/>
            <w:vAlign w:val="center"/>
          </w:tcPr>
          <w:p w14:paraId="52D6E09E" w14:textId="77777777" w:rsidR="00337BDD" w:rsidRPr="00337BDD" w:rsidRDefault="00337BDD" w:rsidP="00C00E67">
            <w:pPr>
              <w:spacing w:after="0" w:line="360" w:lineRule="auto"/>
              <w:jc w:val="center"/>
              <w:rPr>
                <w:rFonts w:ascii="Tw Cen MT" w:eastAsia="Times New Roman" w:hAnsi="Tw Cen MT" w:cs="Arial"/>
                <w:b/>
                <w:bCs/>
                <w:szCs w:val="24"/>
              </w:rPr>
            </w:pPr>
            <w:r w:rsidRPr="00337BDD">
              <w:rPr>
                <w:rFonts w:ascii="Tw Cen MT" w:eastAsia="Times New Roman" w:hAnsi="Tw Cen MT" w:cs="Arial"/>
                <w:b/>
                <w:bCs/>
                <w:szCs w:val="24"/>
              </w:rPr>
              <w:t>Grupos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F64D" w14:textId="77777777" w:rsidR="00337BDD" w:rsidRPr="00337BDD" w:rsidRDefault="00337BDD" w:rsidP="00C00E67">
            <w:pPr>
              <w:spacing w:after="0" w:line="360" w:lineRule="auto"/>
              <w:jc w:val="center"/>
              <w:rPr>
                <w:rFonts w:ascii="Tw Cen MT" w:eastAsia="Times New Roman" w:hAnsi="Tw Cen MT" w:cs="Arial"/>
                <w:b/>
                <w:bCs/>
                <w:szCs w:val="24"/>
              </w:rPr>
            </w:pPr>
            <w:r w:rsidRPr="00337BDD">
              <w:rPr>
                <w:rFonts w:ascii="Tw Cen MT" w:eastAsia="Times New Roman" w:hAnsi="Tw Cen MT" w:cs="Arial"/>
                <w:b/>
                <w:bCs/>
                <w:szCs w:val="24"/>
              </w:rPr>
              <w:t>Domínios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BCA6D7" w14:textId="77777777" w:rsidR="00337BDD" w:rsidRPr="00337BDD" w:rsidRDefault="00337BDD" w:rsidP="00C00E67">
            <w:pPr>
              <w:spacing w:after="0" w:line="360" w:lineRule="auto"/>
              <w:jc w:val="center"/>
              <w:rPr>
                <w:rFonts w:ascii="Tw Cen MT" w:eastAsia="Times New Roman" w:hAnsi="Tw Cen MT" w:cs="Arial"/>
                <w:b/>
                <w:bCs/>
                <w:szCs w:val="24"/>
              </w:rPr>
            </w:pPr>
            <w:r w:rsidRPr="00337BDD">
              <w:rPr>
                <w:rFonts w:ascii="Tw Cen MT" w:eastAsia="Times New Roman" w:hAnsi="Tw Cen MT" w:cs="Arial"/>
                <w:b/>
                <w:bCs/>
                <w:szCs w:val="24"/>
              </w:rPr>
              <w:t>Cotação</w:t>
            </w:r>
          </w:p>
          <w:p w14:paraId="675948CA" w14:textId="77777777" w:rsidR="00337BDD" w:rsidRPr="00337BDD" w:rsidRDefault="00337BDD" w:rsidP="00C00E67">
            <w:pPr>
              <w:spacing w:after="0" w:line="360" w:lineRule="auto"/>
              <w:jc w:val="center"/>
              <w:rPr>
                <w:rFonts w:ascii="Tw Cen MT" w:eastAsia="Times New Roman" w:hAnsi="Tw Cen MT" w:cs="Arial"/>
                <w:b/>
                <w:bCs/>
                <w:szCs w:val="24"/>
              </w:rPr>
            </w:pPr>
            <w:r w:rsidRPr="00337BDD">
              <w:rPr>
                <w:rFonts w:ascii="Tw Cen MT" w:eastAsia="Times New Roman" w:hAnsi="Tw Cen MT" w:cs="Arial"/>
                <w:b/>
                <w:bCs/>
                <w:szCs w:val="24"/>
              </w:rPr>
              <w:t>(em pontos)</w:t>
            </w:r>
          </w:p>
        </w:tc>
      </w:tr>
      <w:tr w:rsidR="00337BDD" w:rsidRPr="00337BDD" w14:paraId="3701AB70" w14:textId="77777777" w:rsidTr="00C00E67">
        <w:tc>
          <w:tcPr>
            <w:tcW w:w="1560" w:type="dxa"/>
            <w:shd w:val="clear" w:color="auto" w:fill="auto"/>
            <w:vAlign w:val="center"/>
          </w:tcPr>
          <w:p w14:paraId="2B66BBAB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rPr>
                <w:rFonts w:ascii="Tw Cen MT" w:hAnsi="Tw Cen MT" w:cs="LucidaSans-Demi"/>
                <w:szCs w:val="24"/>
              </w:rPr>
            </w:pPr>
          </w:p>
          <w:p w14:paraId="1F3A5CAD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hAnsi="Tw Cen MT" w:cs="LucidaSans-Demi"/>
                <w:b/>
                <w:bCs/>
                <w:szCs w:val="24"/>
              </w:rPr>
            </w:pPr>
            <w:r w:rsidRPr="00337BDD">
              <w:rPr>
                <w:rFonts w:ascii="Tw Cen MT" w:hAnsi="Tw Cen MT" w:cs="LucidaSans-Demi"/>
                <w:b/>
                <w:bCs/>
                <w:szCs w:val="24"/>
              </w:rPr>
              <w:t>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020C40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hAnsi="Tw Cen MT" w:cs="LucidaSans-Demi"/>
                <w:b/>
                <w:bCs/>
                <w:szCs w:val="24"/>
              </w:rPr>
            </w:pPr>
            <w:r w:rsidRPr="00337BDD">
              <w:rPr>
                <w:rFonts w:ascii="Tw Cen MT" w:hAnsi="Tw Cen MT" w:cs="LucidaSans-Demi"/>
                <w:b/>
                <w:bCs/>
                <w:szCs w:val="24"/>
              </w:rPr>
              <w:t>Leitura e Educação Literária</w:t>
            </w:r>
          </w:p>
          <w:p w14:paraId="729CBDF3" w14:textId="7F379669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hAnsi="Tw Cen MT" w:cs="LucidaSans-Demi"/>
                <w:szCs w:val="24"/>
              </w:rPr>
            </w:pPr>
            <w:r w:rsidRPr="00337BDD">
              <w:rPr>
                <w:rFonts w:ascii="Tw Cen MT" w:hAnsi="Tw Cen MT" w:cs="LucidaSans-Demi"/>
                <w:szCs w:val="24"/>
              </w:rPr>
              <w:t>• Leitura expressiva e resposta a um questionário oral sobre</w:t>
            </w:r>
          </w:p>
          <w:p w14:paraId="02301728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hAnsi="Tw Cen MT" w:cs="LucidaSans-Demi"/>
                <w:szCs w:val="24"/>
              </w:rPr>
            </w:pPr>
            <w:r w:rsidRPr="00337BDD">
              <w:rPr>
                <w:rFonts w:ascii="Tw Cen MT" w:hAnsi="Tw Cen MT" w:cs="LucidaSans-Demi"/>
                <w:szCs w:val="24"/>
              </w:rPr>
              <w:t xml:space="preserve">Texto narrativo em prosa </w:t>
            </w:r>
            <w:r w:rsidRPr="00337BDD">
              <w:rPr>
                <w:rFonts w:ascii="Tw Cen MT" w:hAnsi="Tw Cen MT" w:cs="LucidaSans-Demi"/>
                <w:b/>
                <w:bCs/>
                <w:szCs w:val="24"/>
              </w:rPr>
              <w:t>ou</w:t>
            </w:r>
          </w:p>
          <w:p w14:paraId="09F50106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hAnsi="Tw Cen MT" w:cs="LucidaSans-Demi"/>
                <w:szCs w:val="24"/>
              </w:rPr>
            </w:pPr>
            <w:r w:rsidRPr="00337BDD">
              <w:rPr>
                <w:rFonts w:ascii="Tw Cen MT" w:hAnsi="Tw Cen MT" w:cs="LucidaSans-Demi"/>
                <w:szCs w:val="24"/>
              </w:rPr>
              <w:t xml:space="preserve">Texto dramático: </w:t>
            </w:r>
            <w:r w:rsidRPr="00337BDD">
              <w:rPr>
                <w:rFonts w:ascii="Tw Cen MT" w:hAnsi="Tw Cen MT" w:cs="LucidaSans-Demi"/>
                <w:i/>
                <w:iCs/>
                <w:szCs w:val="24"/>
              </w:rPr>
              <w:t>Auto da Barca do Inferno</w:t>
            </w:r>
            <w:r w:rsidRPr="00337BDD">
              <w:rPr>
                <w:rFonts w:ascii="Tw Cen MT" w:hAnsi="Tw Cen MT" w:cs="LucidaSans-Demi"/>
                <w:szCs w:val="24"/>
              </w:rPr>
              <w:t xml:space="preserve">, de Gil Vicente </w:t>
            </w:r>
            <w:r w:rsidRPr="00337BDD">
              <w:rPr>
                <w:rFonts w:ascii="Tw Cen MT" w:hAnsi="Tw Cen MT" w:cs="LucidaSans-Demi"/>
                <w:b/>
                <w:bCs/>
                <w:szCs w:val="24"/>
              </w:rPr>
              <w:t>ou</w:t>
            </w:r>
          </w:p>
          <w:p w14:paraId="1734EC18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hAnsi="Tw Cen MT" w:cs="LucidaSans-Demi"/>
                <w:szCs w:val="24"/>
              </w:rPr>
            </w:pPr>
            <w:r w:rsidRPr="00337BDD">
              <w:rPr>
                <w:rFonts w:ascii="Tw Cen MT" w:hAnsi="Tw Cen MT" w:cs="LucidaSans-Demi"/>
                <w:szCs w:val="24"/>
              </w:rPr>
              <w:t xml:space="preserve">Texto narrativo em verso: </w:t>
            </w:r>
            <w:r w:rsidRPr="00337BDD">
              <w:rPr>
                <w:rFonts w:ascii="Tw Cen MT" w:hAnsi="Tw Cen MT" w:cs="LucidaSans-Demi"/>
                <w:i/>
                <w:iCs/>
                <w:szCs w:val="24"/>
              </w:rPr>
              <w:t>Os Lusíadas</w:t>
            </w:r>
            <w:r w:rsidRPr="00337BDD">
              <w:rPr>
                <w:rFonts w:ascii="Tw Cen MT" w:hAnsi="Tw Cen MT" w:cs="LucidaSans-Demi"/>
                <w:szCs w:val="24"/>
              </w:rPr>
              <w:t>, de Luís de Camões.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5225EE" w14:textId="77777777" w:rsidR="00337BDD" w:rsidRPr="00337BDD" w:rsidRDefault="00337BDD" w:rsidP="00C00E67">
            <w:pPr>
              <w:spacing w:line="360" w:lineRule="auto"/>
              <w:jc w:val="center"/>
              <w:rPr>
                <w:rFonts w:ascii="Tw Cen MT" w:hAnsi="Tw Cen MT"/>
              </w:rPr>
            </w:pPr>
          </w:p>
          <w:p w14:paraId="3E860885" w14:textId="77777777" w:rsidR="00337BDD" w:rsidRPr="00337BDD" w:rsidRDefault="00337BDD" w:rsidP="00C00E67">
            <w:pPr>
              <w:spacing w:line="360" w:lineRule="auto"/>
              <w:jc w:val="center"/>
              <w:rPr>
                <w:rFonts w:ascii="Tw Cen MT" w:hAnsi="Tw Cen MT"/>
              </w:rPr>
            </w:pPr>
            <w:r w:rsidRPr="00337BDD">
              <w:rPr>
                <w:rFonts w:ascii="Tw Cen MT" w:hAnsi="Tw Cen MT"/>
              </w:rPr>
              <w:t>50</w:t>
            </w:r>
          </w:p>
        </w:tc>
      </w:tr>
      <w:tr w:rsidR="00337BDD" w:rsidRPr="00337BDD" w14:paraId="1748733A" w14:textId="77777777" w:rsidTr="00C00E67">
        <w:tc>
          <w:tcPr>
            <w:tcW w:w="1560" w:type="dxa"/>
            <w:shd w:val="clear" w:color="auto" w:fill="auto"/>
            <w:vAlign w:val="center"/>
          </w:tcPr>
          <w:p w14:paraId="561AA859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rPr>
                <w:rFonts w:ascii="Tw Cen MT" w:hAnsi="Tw Cen MT" w:cs="LucidaSans-Demi"/>
                <w:szCs w:val="24"/>
              </w:rPr>
            </w:pPr>
          </w:p>
          <w:p w14:paraId="57B9552B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w Cen MT" w:hAnsi="Tw Cen MT" w:cs="LucidaSans-Demi"/>
                <w:b/>
                <w:bCs/>
                <w:szCs w:val="24"/>
              </w:rPr>
            </w:pPr>
            <w:r w:rsidRPr="00337BDD">
              <w:rPr>
                <w:rFonts w:ascii="Tw Cen MT" w:hAnsi="Tw Cen MT" w:cs="LucidaSans-Demi"/>
                <w:b/>
                <w:bCs/>
                <w:szCs w:val="24"/>
              </w:rPr>
              <w:t>II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052F9B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hAnsi="Tw Cen MT" w:cs="LucidaSans-Demi"/>
                <w:b/>
                <w:bCs/>
                <w:szCs w:val="24"/>
              </w:rPr>
            </w:pPr>
            <w:r w:rsidRPr="00337BDD">
              <w:rPr>
                <w:rFonts w:ascii="Tw Cen MT" w:hAnsi="Tw Cen MT" w:cs="LucidaSans-Demi"/>
                <w:b/>
                <w:bCs/>
                <w:szCs w:val="24"/>
              </w:rPr>
              <w:t>Expressão Oral</w:t>
            </w:r>
          </w:p>
          <w:p w14:paraId="6E00371B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hAnsi="Tw Cen MT" w:cs="LucidaSans-Demi"/>
                <w:szCs w:val="24"/>
              </w:rPr>
            </w:pPr>
            <w:r w:rsidRPr="00337BDD">
              <w:rPr>
                <w:rFonts w:ascii="Tw Cen MT" w:hAnsi="Tw Cen MT" w:cs="LucidaSans-Demi"/>
                <w:szCs w:val="24"/>
              </w:rPr>
              <w:t>• Exposição oral/ apresentação de pontos de vista sobre o estudo de uma obra de leitura obrigatória do 9.ºano:</w:t>
            </w:r>
          </w:p>
          <w:p w14:paraId="194EF2EF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hAnsi="Tw Cen MT" w:cs="LucidaSans-Demi"/>
                <w:szCs w:val="24"/>
              </w:rPr>
            </w:pPr>
            <w:r w:rsidRPr="00337BDD">
              <w:rPr>
                <w:rFonts w:ascii="Tw Cen MT" w:hAnsi="Tw Cen MT" w:cs="LucidaSans-Demi"/>
                <w:i/>
                <w:iCs/>
                <w:szCs w:val="24"/>
              </w:rPr>
              <w:t>Auto da Barca do Inferno</w:t>
            </w:r>
            <w:r w:rsidRPr="00337BDD">
              <w:rPr>
                <w:rFonts w:ascii="Tw Cen MT" w:hAnsi="Tw Cen MT" w:cs="LucidaSans-Demi"/>
                <w:szCs w:val="24"/>
              </w:rPr>
              <w:t>, de Gil Vicente</w:t>
            </w:r>
          </w:p>
          <w:p w14:paraId="04CA7280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hAnsi="Tw Cen MT" w:cs="LucidaSans-Demi"/>
                <w:b/>
                <w:bCs/>
                <w:szCs w:val="24"/>
              </w:rPr>
            </w:pPr>
            <w:r w:rsidRPr="00337BDD">
              <w:rPr>
                <w:rFonts w:ascii="Tw Cen MT" w:hAnsi="Tw Cen MT" w:cs="LucidaSans-Demi"/>
                <w:b/>
                <w:bCs/>
                <w:szCs w:val="24"/>
              </w:rPr>
              <w:t>ou</w:t>
            </w:r>
          </w:p>
          <w:p w14:paraId="65974A66" w14:textId="77777777" w:rsidR="00337BDD" w:rsidRPr="00337BDD" w:rsidRDefault="00337BDD" w:rsidP="00C00E6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w Cen MT" w:hAnsi="Tw Cen MT" w:cs="LucidaSans-Demi"/>
                <w:szCs w:val="24"/>
              </w:rPr>
            </w:pPr>
            <w:r w:rsidRPr="00337BDD">
              <w:rPr>
                <w:rFonts w:ascii="Tw Cen MT" w:hAnsi="Tw Cen MT" w:cs="LucidaSans-Demi"/>
                <w:i/>
                <w:iCs/>
                <w:szCs w:val="24"/>
              </w:rPr>
              <w:t>Os Lusíadas</w:t>
            </w:r>
            <w:r w:rsidRPr="00337BDD">
              <w:rPr>
                <w:rFonts w:ascii="Tw Cen MT" w:hAnsi="Tw Cen MT" w:cs="LucidaSans-Demi"/>
                <w:szCs w:val="24"/>
              </w:rPr>
              <w:t>, de Luís de Camões.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0E2A34" w14:textId="77777777" w:rsidR="00337BDD" w:rsidRPr="00337BDD" w:rsidRDefault="00337BDD" w:rsidP="00C00E67">
            <w:pPr>
              <w:spacing w:line="360" w:lineRule="auto"/>
              <w:jc w:val="center"/>
              <w:rPr>
                <w:rFonts w:ascii="Tw Cen MT" w:hAnsi="Tw Cen MT"/>
              </w:rPr>
            </w:pPr>
          </w:p>
          <w:p w14:paraId="52761675" w14:textId="77777777" w:rsidR="00337BDD" w:rsidRPr="00337BDD" w:rsidRDefault="00337BDD" w:rsidP="00C00E67">
            <w:pPr>
              <w:spacing w:line="360" w:lineRule="auto"/>
              <w:jc w:val="center"/>
              <w:rPr>
                <w:rFonts w:ascii="Tw Cen MT" w:hAnsi="Tw Cen MT"/>
              </w:rPr>
            </w:pPr>
            <w:r w:rsidRPr="00337BDD">
              <w:rPr>
                <w:rFonts w:ascii="Tw Cen MT" w:hAnsi="Tw Cen MT"/>
              </w:rPr>
              <w:t>50</w:t>
            </w:r>
          </w:p>
        </w:tc>
      </w:tr>
    </w:tbl>
    <w:p w14:paraId="5179410D" w14:textId="77777777" w:rsidR="00337BDD" w:rsidRPr="00337BDD" w:rsidRDefault="00337BDD" w:rsidP="00337BDD">
      <w:pPr>
        <w:widowControl w:val="0"/>
        <w:spacing w:line="360" w:lineRule="auto"/>
        <w:ind w:right="8"/>
        <w:jc w:val="both"/>
        <w:rPr>
          <w:rFonts w:ascii="Tw Cen MT" w:eastAsia="Twentieth Century" w:hAnsi="Tw Cen MT" w:cs="Twentieth Century"/>
          <w:color w:val="000000"/>
        </w:rPr>
      </w:pPr>
    </w:p>
    <w:p w14:paraId="33C1666A" w14:textId="77777777" w:rsidR="00337BDD" w:rsidRPr="00337BDD" w:rsidRDefault="00337BDD" w:rsidP="00337BDD">
      <w:pPr>
        <w:widowControl w:val="0"/>
        <w:spacing w:line="360" w:lineRule="auto"/>
        <w:ind w:right="8"/>
        <w:jc w:val="both"/>
        <w:rPr>
          <w:rFonts w:ascii="Tw Cen MT" w:eastAsia="Twentieth Century" w:hAnsi="Tw Cen MT" w:cs="Twentieth Century"/>
          <w:b/>
          <w:color w:val="000000"/>
        </w:rPr>
      </w:pPr>
      <w:r w:rsidRPr="00337BDD">
        <w:rPr>
          <w:rFonts w:ascii="Tw Cen MT" w:eastAsia="Twentieth Century" w:hAnsi="Tw Cen MT" w:cs="Twentieth Century"/>
          <w:b/>
          <w:color w:val="000000"/>
        </w:rPr>
        <w:t>Critérios gerais de classificação</w:t>
      </w:r>
    </w:p>
    <w:p w14:paraId="1D82D06B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A classificação a atribuir a cada resposta resulta dos critérios gerais e dos critérios específicos de classificação apresentados para cada item e é expressa por um número inteiro, previsto na grelha de classificação.</w:t>
      </w:r>
    </w:p>
    <w:p w14:paraId="3E825F87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As respostas que não possam ser claramente identificadas como corretas são classificadas com zero pontos.</w:t>
      </w:r>
    </w:p>
    <w:p w14:paraId="2A97A2E6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Não será atribuída classificação a produções orais que não obedeçam ao(s) tema(s) proposto(s).</w:t>
      </w:r>
    </w:p>
    <w:p w14:paraId="165117C4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São considerados cinco critérios para a classificação do desempenho do aluno: I – Fluência da leitura; II – Apreensão crítica do significado e da intenção do texto; III – Clareza e fluência da expressão oral; IV – Correção e adequação discursiva; V – Desenvolvimento, sem desvios, dos assuntos propostos.</w:t>
      </w:r>
    </w:p>
    <w:p w14:paraId="4009753F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</w:p>
    <w:p w14:paraId="45E3D0D2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O entendimento que se faz dos mesmos é o seguinte:</w:t>
      </w:r>
    </w:p>
    <w:p w14:paraId="4FCEE773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I – Fluência da leitura – refere-se à expressividade e ao ritmo adequado de leitura, à dicção e ao respeito pela pontuação; </w:t>
      </w:r>
    </w:p>
    <w:p w14:paraId="4F91F47A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II – Apreensão crítica do significado e da intenção do texto – refere-se à identificação das ideias/valores essenciais presentes no texto e à capacidade de se expressar criticamente sobre eles, destacando sentidos implícitos e fazendo inferências;</w:t>
      </w:r>
    </w:p>
    <w:p w14:paraId="2D5CD406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lastRenderedPageBreak/>
        <w:t> III – Clareza e fluência da expressão oral – refere-se à capacidade de formular e/ou prosseguir um discurso com ritmo adequado sem demasiadas hesitações, pausas ou reformulações que dificultem a compreensão dos interlocutores; </w:t>
      </w:r>
    </w:p>
    <w:p w14:paraId="5D3EACA4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IV – Correção e adequação discursiva – refere-se à capacidade de usar correta e adequadamente as estruturas gramaticais, o vocabulário e a entoação; </w:t>
      </w:r>
    </w:p>
    <w:p w14:paraId="4871EDD6" w14:textId="77777777" w:rsidR="00337BDD" w:rsidRPr="00337BDD" w:rsidRDefault="00337BDD" w:rsidP="00337BDD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 w:cs="LucidaSans-Demi"/>
          <w:szCs w:val="24"/>
        </w:rPr>
      </w:pPr>
      <w:r w:rsidRPr="00337BDD">
        <w:rPr>
          <w:rFonts w:ascii="Tw Cen MT" w:hAnsi="Tw Cen MT" w:cs="LucidaSans-Demi"/>
          <w:szCs w:val="24"/>
        </w:rPr>
        <w:t>V – Desenvolvimento, sem desvios, dos assuntos propostos – refere-se à capacidade de responder, sem desvios e de forma acertada, às diferentes questões colocadas, evidenciando o domínio dos diversos conteúdos programáticos. </w:t>
      </w:r>
    </w:p>
    <w:p w14:paraId="55BE17E9" w14:textId="77777777" w:rsidR="00337BDD" w:rsidRPr="00337BDD" w:rsidRDefault="00337BDD" w:rsidP="00337BDD">
      <w:pPr>
        <w:widowControl w:val="0"/>
        <w:spacing w:line="360" w:lineRule="auto"/>
        <w:ind w:right="8"/>
        <w:jc w:val="both"/>
        <w:rPr>
          <w:rFonts w:ascii="Tw Cen MT" w:eastAsia="Twentieth Century" w:hAnsi="Tw Cen MT" w:cs="Twentieth Century"/>
          <w:color w:val="000000"/>
        </w:rPr>
      </w:pPr>
    </w:p>
    <w:p w14:paraId="78A8386E" w14:textId="77777777" w:rsidR="00337BDD" w:rsidRPr="00337BDD" w:rsidRDefault="00337BDD" w:rsidP="00337BDD">
      <w:pPr>
        <w:widowControl w:val="0"/>
        <w:spacing w:line="360" w:lineRule="auto"/>
        <w:ind w:right="8"/>
        <w:jc w:val="both"/>
        <w:rPr>
          <w:rFonts w:ascii="Tw Cen MT" w:eastAsia="Twentieth Century" w:hAnsi="Tw Cen MT" w:cs="Twentieth Century"/>
          <w:b/>
          <w:color w:val="000000"/>
        </w:rPr>
      </w:pPr>
    </w:p>
    <w:p w14:paraId="6889DEA7" w14:textId="4FEE5A44" w:rsidR="00337BDD" w:rsidRPr="00337BDD" w:rsidRDefault="00337BDD" w:rsidP="00337BDD">
      <w:pPr>
        <w:widowControl w:val="0"/>
        <w:spacing w:line="360" w:lineRule="auto"/>
        <w:ind w:right="8"/>
        <w:jc w:val="both"/>
        <w:rPr>
          <w:rFonts w:ascii="Tw Cen MT" w:eastAsia="Twentieth Century" w:hAnsi="Tw Cen MT" w:cs="Twentieth Century"/>
          <w:b/>
          <w:color w:val="000000"/>
        </w:rPr>
      </w:pPr>
      <w:r w:rsidRPr="00337BDD">
        <w:rPr>
          <w:rFonts w:ascii="Tw Cen MT" w:eastAsia="Twentieth Century" w:hAnsi="Tw Cen MT" w:cs="Twentieth Century"/>
          <w:b/>
          <w:color w:val="000000"/>
        </w:rPr>
        <w:t xml:space="preserve">Material </w:t>
      </w:r>
    </w:p>
    <w:p w14:paraId="0C2F8EE7" w14:textId="77777777" w:rsidR="00337BDD" w:rsidRPr="00337BDD" w:rsidRDefault="00337BDD" w:rsidP="00337BDD">
      <w:pPr>
        <w:widowControl w:val="0"/>
        <w:spacing w:line="360" w:lineRule="auto"/>
        <w:ind w:right="8"/>
        <w:jc w:val="both"/>
        <w:rPr>
          <w:rFonts w:ascii="Tw Cen MT" w:eastAsia="Twentieth Century" w:hAnsi="Tw Cen MT" w:cs="Twentieth Century"/>
          <w:color w:val="000000"/>
        </w:rPr>
      </w:pPr>
      <w:r w:rsidRPr="00337BDD">
        <w:rPr>
          <w:rFonts w:ascii="Tw Cen MT" w:eastAsia="Twentieth Century" w:hAnsi="Tw Cen MT" w:cs="Twentieth Century"/>
          <w:color w:val="000000"/>
        </w:rPr>
        <w:t>O material a usar durante a prova é disponibilizado pelos professores.</w:t>
      </w:r>
    </w:p>
    <w:p w14:paraId="1789EC6B" w14:textId="77777777" w:rsidR="00337BDD" w:rsidRPr="00337BDD" w:rsidRDefault="00337BDD" w:rsidP="00337BDD">
      <w:pPr>
        <w:widowControl w:val="0"/>
        <w:spacing w:line="360" w:lineRule="auto"/>
        <w:ind w:right="8"/>
        <w:jc w:val="both"/>
        <w:rPr>
          <w:rFonts w:ascii="Tw Cen MT" w:eastAsia="Twentieth Century" w:hAnsi="Tw Cen MT" w:cs="Twentieth Century"/>
          <w:b/>
          <w:color w:val="000000"/>
        </w:rPr>
      </w:pPr>
    </w:p>
    <w:p w14:paraId="213F76B3" w14:textId="77777777" w:rsidR="00337BDD" w:rsidRPr="00337BDD" w:rsidRDefault="00337BDD" w:rsidP="00337BDD">
      <w:pPr>
        <w:widowControl w:val="0"/>
        <w:spacing w:line="360" w:lineRule="auto"/>
        <w:ind w:right="8"/>
        <w:jc w:val="both"/>
        <w:rPr>
          <w:rFonts w:ascii="Tw Cen MT" w:eastAsia="Twentieth Century" w:hAnsi="Tw Cen MT" w:cs="Twentieth Century"/>
          <w:b/>
          <w:color w:val="000000"/>
        </w:rPr>
      </w:pPr>
      <w:r w:rsidRPr="00337BDD">
        <w:rPr>
          <w:rFonts w:ascii="Tw Cen MT" w:eastAsia="Twentieth Century" w:hAnsi="Tw Cen MT" w:cs="Twentieth Century"/>
          <w:b/>
          <w:color w:val="000000"/>
        </w:rPr>
        <w:t>Duração</w:t>
      </w:r>
    </w:p>
    <w:p w14:paraId="53366D6C" w14:textId="1AB982DA" w:rsidR="00337BDD" w:rsidRPr="00337BDD" w:rsidRDefault="00337BDD" w:rsidP="00337B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w Cen MT" w:eastAsia="Calibri" w:hAnsi="Tw Cen MT" w:cs="Times New Roman"/>
          <w:sz w:val="20"/>
          <w:szCs w:val="20"/>
        </w:rPr>
      </w:pPr>
      <w:r w:rsidRPr="00337BDD">
        <w:rPr>
          <w:rFonts w:ascii="Tw Cen MT" w:eastAsia="Twentieth Century" w:hAnsi="Tw Cen MT" w:cs="Twentieth Century"/>
          <w:color w:val="000000"/>
        </w:rPr>
        <w:t>A prova tem a duração máxima de 15 minutos.</w:t>
      </w:r>
    </w:p>
    <w:p w14:paraId="1E3D0103" w14:textId="77777777" w:rsidR="00337BDD" w:rsidRDefault="00337BDD" w:rsidP="00C35CF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w Cen MT" w:eastAsia="Calibri" w:hAnsi="Tw Cen MT" w:cs="Times New Roman"/>
          <w:sz w:val="20"/>
          <w:szCs w:val="20"/>
        </w:rPr>
      </w:pPr>
    </w:p>
    <w:p w14:paraId="1A7F63D2" w14:textId="77777777" w:rsidR="00F45B89" w:rsidRDefault="00F45B89" w:rsidP="005D0166">
      <w:pPr>
        <w:autoSpaceDE w:val="0"/>
        <w:autoSpaceDN w:val="0"/>
        <w:adjustRightInd w:val="0"/>
        <w:spacing w:before="240" w:after="0" w:line="360" w:lineRule="auto"/>
        <w:jc w:val="both"/>
        <w:rPr>
          <w:rFonts w:ascii="Tw Cen MT" w:eastAsia="Times New Roman" w:hAnsi="Tw Cen MT" w:cs="Times New Roman"/>
          <w:lang w:eastAsia="pt-PT"/>
        </w:rPr>
      </w:pPr>
    </w:p>
    <w:sectPr w:rsidR="00F45B89" w:rsidSect="00F67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5C29" w14:textId="77777777" w:rsidR="00C21143" w:rsidRDefault="00C21143">
      <w:pPr>
        <w:spacing w:after="0" w:line="240" w:lineRule="auto"/>
      </w:pPr>
      <w:r>
        <w:separator/>
      </w:r>
    </w:p>
  </w:endnote>
  <w:endnote w:type="continuationSeparator" w:id="0">
    <w:p w14:paraId="0012D2F8" w14:textId="77777777" w:rsidR="00C21143" w:rsidRDefault="00C2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Sans-Demi">
    <w:altName w:val="Lucid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entieth Century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E426" w14:textId="77777777" w:rsidR="00FC3562" w:rsidRDefault="00FC35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1C9" w14:textId="19796EFE" w:rsidR="00311300" w:rsidRDefault="00C34D41" w:rsidP="00604232">
    <w:pPr>
      <w:pStyle w:val="Rodap"/>
      <w:rPr>
        <w:b/>
        <w:bCs/>
        <w:sz w:val="24"/>
        <w:szCs w:val="24"/>
      </w:rPr>
    </w:pPr>
    <w:r w:rsidRPr="00A32BB8">
      <w:t xml:space="preserve">Prova </w:t>
    </w:r>
    <w:r w:rsidR="00337BDD">
      <w:t xml:space="preserve">91 (Prova </w:t>
    </w:r>
    <w:proofErr w:type="gramStart"/>
    <w:r w:rsidR="00337BDD">
      <w:t>Oral)</w:t>
    </w:r>
    <w:r w:rsidR="00FC3562">
      <w:t xml:space="preserve">   </w:t>
    </w:r>
    <w:proofErr w:type="gramEnd"/>
    <w:r w:rsidR="00337BDD">
      <w:t xml:space="preserve">                                                                                                                                  </w:t>
    </w:r>
    <w:r>
      <w:t xml:space="preserve">Página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B4DEF">
      <w:rPr>
        <w:b/>
        <w:bCs/>
        <w:sz w:val="24"/>
        <w:szCs w:val="24"/>
      </w:rPr>
      <w:fldChar w:fldCharType="separate"/>
    </w:r>
    <w:r w:rsidR="00220EC8">
      <w:rPr>
        <w:b/>
        <w:bCs/>
        <w:noProof/>
      </w:rPr>
      <w:t>2</w:t>
    </w:r>
    <w:r w:rsidR="006B4DEF">
      <w:rPr>
        <w:b/>
        <w:bCs/>
        <w:sz w:val="24"/>
        <w:szCs w:val="24"/>
      </w:rPr>
      <w:fldChar w:fldCharType="end"/>
    </w:r>
    <w:r>
      <w:t xml:space="preserve"> de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B4DEF">
      <w:rPr>
        <w:b/>
        <w:bCs/>
        <w:sz w:val="24"/>
        <w:szCs w:val="24"/>
      </w:rPr>
      <w:fldChar w:fldCharType="separate"/>
    </w:r>
    <w:r w:rsidR="00220EC8">
      <w:rPr>
        <w:b/>
        <w:bCs/>
        <w:noProof/>
      </w:rPr>
      <w:t>3</w:t>
    </w:r>
    <w:r w:rsidR="006B4DEF">
      <w:rPr>
        <w:b/>
        <w:bCs/>
        <w:sz w:val="24"/>
        <w:szCs w:val="24"/>
      </w:rPr>
      <w:fldChar w:fldCharType="end"/>
    </w:r>
  </w:p>
  <w:p w14:paraId="799AD84B" w14:textId="77777777" w:rsidR="00604232" w:rsidRDefault="00000000" w:rsidP="00604232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42A2" w14:textId="77777777" w:rsidR="00FC3562" w:rsidRDefault="00FC35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5F35" w14:textId="77777777" w:rsidR="00C21143" w:rsidRDefault="00C21143">
      <w:pPr>
        <w:spacing w:after="0" w:line="240" w:lineRule="auto"/>
      </w:pPr>
      <w:r>
        <w:separator/>
      </w:r>
    </w:p>
  </w:footnote>
  <w:footnote w:type="continuationSeparator" w:id="0">
    <w:p w14:paraId="379438D2" w14:textId="77777777" w:rsidR="00C21143" w:rsidRDefault="00C2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35D3" w14:textId="77777777" w:rsidR="00FC3562" w:rsidRDefault="00FC35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1710" w14:textId="77777777" w:rsidR="00FC3562" w:rsidRDefault="00FC356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8E19" w14:textId="77777777" w:rsidR="00FC3562" w:rsidRDefault="00FC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E6F"/>
    <w:multiLevelType w:val="hybridMultilevel"/>
    <w:tmpl w:val="5876310E"/>
    <w:lvl w:ilvl="0" w:tplc="6980E86A">
      <w:start w:val="1"/>
      <w:numFmt w:val="bullet"/>
      <w:lvlText w:val=""/>
      <w:lvlJc w:val="left"/>
      <w:pPr>
        <w:ind w:left="373" w:hanging="25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F2C4FD8E">
      <w:start w:val="1"/>
      <w:numFmt w:val="bullet"/>
      <w:lvlText w:val="•"/>
      <w:lvlJc w:val="left"/>
      <w:pPr>
        <w:ind w:left="1274" w:hanging="253"/>
      </w:pPr>
      <w:rPr>
        <w:rFonts w:hint="default"/>
      </w:rPr>
    </w:lvl>
    <w:lvl w:ilvl="2" w:tplc="D8108552">
      <w:start w:val="1"/>
      <w:numFmt w:val="bullet"/>
      <w:lvlText w:val="•"/>
      <w:lvlJc w:val="left"/>
      <w:pPr>
        <w:ind w:left="2169" w:hanging="253"/>
      </w:pPr>
      <w:rPr>
        <w:rFonts w:hint="default"/>
      </w:rPr>
    </w:lvl>
    <w:lvl w:ilvl="3" w:tplc="3DAA2EA4">
      <w:start w:val="1"/>
      <w:numFmt w:val="bullet"/>
      <w:lvlText w:val="•"/>
      <w:lvlJc w:val="left"/>
      <w:pPr>
        <w:ind w:left="3063" w:hanging="253"/>
      </w:pPr>
      <w:rPr>
        <w:rFonts w:hint="default"/>
      </w:rPr>
    </w:lvl>
    <w:lvl w:ilvl="4" w:tplc="B19098D6">
      <w:start w:val="1"/>
      <w:numFmt w:val="bullet"/>
      <w:lvlText w:val="•"/>
      <w:lvlJc w:val="left"/>
      <w:pPr>
        <w:ind w:left="3958" w:hanging="253"/>
      </w:pPr>
      <w:rPr>
        <w:rFonts w:hint="default"/>
      </w:rPr>
    </w:lvl>
    <w:lvl w:ilvl="5" w:tplc="CA5A85D2">
      <w:start w:val="1"/>
      <w:numFmt w:val="bullet"/>
      <w:lvlText w:val="•"/>
      <w:lvlJc w:val="left"/>
      <w:pPr>
        <w:ind w:left="4852" w:hanging="253"/>
      </w:pPr>
      <w:rPr>
        <w:rFonts w:hint="default"/>
      </w:rPr>
    </w:lvl>
    <w:lvl w:ilvl="6" w:tplc="39280D3E">
      <w:start w:val="1"/>
      <w:numFmt w:val="bullet"/>
      <w:lvlText w:val="•"/>
      <w:lvlJc w:val="left"/>
      <w:pPr>
        <w:ind w:left="5747" w:hanging="253"/>
      </w:pPr>
      <w:rPr>
        <w:rFonts w:hint="default"/>
      </w:rPr>
    </w:lvl>
    <w:lvl w:ilvl="7" w:tplc="3DA6573C">
      <w:start w:val="1"/>
      <w:numFmt w:val="bullet"/>
      <w:lvlText w:val="•"/>
      <w:lvlJc w:val="left"/>
      <w:pPr>
        <w:ind w:left="6641" w:hanging="253"/>
      </w:pPr>
      <w:rPr>
        <w:rFonts w:hint="default"/>
      </w:rPr>
    </w:lvl>
    <w:lvl w:ilvl="8" w:tplc="2A2088C2">
      <w:start w:val="1"/>
      <w:numFmt w:val="bullet"/>
      <w:lvlText w:val="•"/>
      <w:lvlJc w:val="left"/>
      <w:pPr>
        <w:ind w:left="7536" w:hanging="253"/>
      </w:pPr>
      <w:rPr>
        <w:rFonts w:hint="default"/>
      </w:rPr>
    </w:lvl>
  </w:abstractNum>
  <w:abstractNum w:abstractNumId="1" w15:restartNumberingAfterBreak="0">
    <w:nsid w:val="14466DF4"/>
    <w:multiLevelType w:val="hybridMultilevel"/>
    <w:tmpl w:val="C412733A"/>
    <w:lvl w:ilvl="0" w:tplc="08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55D0526C"/>
    <w:multiLevelType w:val="hybridMultilevel"/>
    <w:tmpl w:val="60700A94"/>
    <w:lvl w:ilvl="0" w:tplc="2A2C20C4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614429A1"/>
    <w:multiLevelType w:val="hybridMultilevel"/>
    <w:tmpl w:val="631E01F6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F3D2531"/>
    <w:multiLevelType w:val="hybridMultilevel"/>
    <w:tmpl w:val="E3909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655174">
    <w:abstractNumId w:val="2"/>
  </w:num>
  <w:num w:numId="2" w16cid:durableId="754473246">
    <w:abstractNumId w:val="4"/>
  </w:num>
  <w:num w:numId="3" w16cid:durableId="364915209">
    <w:abstractNumId w:val="1"/>
  </w:num>
  <w:num w:numId="4" w16cid:durableId="910165217">
    <w:abstractNumId w:val="0"/>
  </w:num>
  <w:num w:numId="5" w16cid:durableId="151215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7B8"/>
    <w:rsid w:val="00000337"/>
    <w:rsid w:val="00012E91"/>
    <w:rsid w:val="00024C4C"/>
    <w:rsid w:val="000554F9"/>
    <w:rsid w:val="000716C3"/>
    <w:rsid w:val="000D17FC"/>
    <w:rsid w:val="0011022F"/>
    <w:rsid w:val="001211B3"/>
    <w:rsid w:val="00136DC2"/>
    <w:rsid w:val="00152291"/>
    <w:rsid w:val="0016034E"/>
    <w:rsid w:val="00170A37"/>
    <w:rsid w:val="0017202D"/>
    <w:rsid w:val="001A350D"/>
    <w:rsid w:val="001D6520"/>
    <w:rsid w:val="001E777E"/>
    <w:rsid w:val="001F49B0"/>
    <w:rsid w:val="00220EC8"/>
    <w:rsid w:val="0023622C"/>
    <w:rsid w:val="00236EB4"/>
    <w:rsid w:val="00244CFA"/>
    <w:rsid w:val="00294479"/>
    <w:rsid w:val="00294EC2"/>
    <w:rsid w:val="002B0192"/>
    <w:rsid w:val="002D4518"/>
    <w:rsid w:val="00331ECA"/>
    <w:rsid w:val="00337BDD"/>
    <w:rsid w:val="00340C75"/>
    <w:rsid w:val="0036433D"/>
    <w:rsid w:val="00393A6B"/>
    <w:rsid w:val="003A4831"/>
    <w:rsid w:val="003A67B9"/>
    <w:rsid w:val="003B79C9"/>
    <w:rsid w:val="003C18E0"/>
    <w:rsid w:val="004043B1"/>
    <w:rsid w:val="00430F98"/>
    <w:rsid w:val="00452B47"/>
    <w:rsid w:val="004607B8"/>
    <w:rsid w:val="00464D93"/>
    <w:rsid w:val="004A7217"/>
    <w:rsid w:val="004B2E70"/>
    <w:rsid w:val="004B3759"/>
    <w:rsid w:val="004E50A7"/>
    <w:rsid w:val="00507F32"/>
    <w:rsid w:val="00513474"/>
    <w:rsid w:val="00520CE0"/>
    <w:rsid w:val="0054271A"/>
    <w:rsid w:val="00577A05"/>
    <w:rsid w:val="005D0166"/>
    <w:rsid w:val="005D4682"/>
    <w:rsid w:val="005E144C"/>
    <w:rsid w:val="00602E61"/>
    <w:rsid w:val="0060779A"/>
    <w:rsid w:val="00644E48"/>
    <w:rsid w:val="00647936"/>
    <w:rsid w:val="00652624"/>
    <w:rsid w:val="00662050"/>
    <w:rsid w:val="00662826"/>
    <w:rsid w:val="006B1D1F"/>
    <w:rsid w:val="006B4DEF"/>
    <w:rsid w:val="006D1BF2"/>
    <w:rsid w:val="006F6387"/>
    <w:rsid w:val="006F79DE"/>
    <w:rsid w:val="007449FE"/>
    <w:rsid w:val="00753F19"/>
    <w:rsid w:val="00767F46"/>
    <w:rsid w:val="00781540"/>
    <w:rsid w:val="00782DA2"/>
    <w:rsid w:val="007B3D80"/>
    <w:rsid w:val="007B7D2C"/>
    <w:rsid w:val="007D7FEA"/>
    <w:rsid w:val="007E3810"/>
    <w:rsid w:val="007E640E"/>
    <w:rsid w:val="008038EA"/>
    <w:rsid w:val="00815BA6"/>
    <w:rsid w:val="00824789"/>
    <w:rsid w:val="00836881"/>
    <w:rsid w:val="008377B2"/>
    <w:rsid w:val="00851A72"/>
    <w:rsid w:val="00870560"/>
    <w:rsid w:val="00885DBC"/>
    <w:rsid w:val="0089465A"/>
    <w:rsid w:val="008B7EBD"/>
    <w:rsid w:val="008D6231"/>
    <w:rsid w:val="008F5CD9"/>
    <w:rsid w:val="00922199"/>
    <w:rsid w:val="009A2946"/>
    <w:rsid w:val="009B049B"/>
    <w:rsid w:val="009B2D74"/>
    <w:rsid w:val="009B3469"/>
    <w:rsid w:val="009D0FFF"/>
    <w:rsid w:val="009D1FE5"/>
    <w:rsid w:val="009F15C2"/>
    <w:rsid w:val="009F6CA9"/>
    <w:rsid w:val="00A01923"/>
    <w:rsid w:val="00A241CE"/>
    <w:rsid w:val="00A32BB8"/>
    <w:rsid w:val="00A43001"/>
    <w:rsid w:val="00A6323F"/>
    <w:rsid w:val="00A708FC"/>
    <w:rsid w:val="00A70FD2"/>
    <w:rsid w:val="00A92E9D"/>
    <w:rsid w:val="00AA6CF0"/>
    <w:rsid w:val="00AB12E7"/>
    <w:rsid w:val="00AE4716"/>
    <w:rsid w:val="00AE4AF1"/>
    <w:rsid w:val="00AF0C84"/>
    <w:rsid w:val="00B162C5"/>
    <w:rsid w:val="00B30C91"/>
    <w:rsid w:val="00B31213"/>
    <w:rsid w:val="00B36532"/>
    <w:rsid w:val="00B50913"/>
    <w:rsid w:val="00B63563"/>
    <w:rsid w:val="00B6561F"/>
    <w:rsid w:val="00BD20A6"/>
    <w:rsid w:val="00C21143"/>
    <w:rsid w:val="00C213F5"/>
    <w:rsid w:val="00C219AA"/>
    <w:rsid w:val="00C23BA9"/>
    <w:rsid w:val="00C24598"/>
    <w:rsid w:val="00C34D41"/>
    <w:rsid w:val="00C35CF3"/>
    <w:rsid w:val="00C55A56"/>
    <w:rsid w:val="00CB0856"/>
    <w:rsid w:val="00CD42DC"/>
    <w:rsid w:val="00CE1349"/>
    <w:rsid w:val="00CE75BD"/>
    <w:rsid w:val="00D14DD5"/>
    <w:rsid w:val="00D54370"/>
    <w:rsid w:val="00DA4988"/>
    <w:rsid w:val="00DB33A7"/>
    <w:rsid w:val="00DB52A3"/>
    <w:rsid w:val="00DD7B6F"/>
    <w:rsid w:val="00E0243B"/>
    <w:rsid w:val="00E06030"/>
    <w:rsid w:val="00E3248F"/>
    <w:rsid w:val="00E46CAB"/>
    <w:rsid w:val="00EA7459"/>
    <w:rsid w:val="00EE2D71"/>
    <w:rsid w:val="00EE5289"/>
    <w:rsid w:val="00F10F80"/>
    <w:rsid w:val="00F16AD8"/>
    <w:rsid w:val="00F27B47"/>
    <w:rsid w:val="00F45B89"/>
    <w:rsid w:val="00F64B67"/>
    <w:rsid w:val="00F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9F69"/>
  <w15:docId w15:val="{D39DBB99-63D0-4AB8-A441-7482B015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4D41"/>
  </w:style>
  <w:style w:type="paragraph" w:styleId="Rodap">
    <w:name w:val="footer"/>
    <w:basedOn w:val="Normal"/>
    <w:link w:val="Rodap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4D41"/>
  </w:style>
  <w:style w:type="table" w:styleId="TabelacomGrelha">
    <w:name w:val="Table Grid"/>
    <w:basedOn w:val="Tabelanormal"/>
    <w:uiPriority w:val="39"/>
    <w:rsid w:val="004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7B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2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241C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2E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2E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2E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2E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2E91"/>
    <w:rPr>
      <w:b/>
      <w:bCs/>
      <w:sz w:val="20"/>
      <w:szCs w:val="20"/>
    </w:rPr>
  </w:style>
  <w:style w:type="character" w:customStyle="1" w:styleId="TextodecomentrioCarcter">
    <w:name w:val="Texto de comentário Carácter"/>
    <w:uiPriority w:val="99"/>
    <w:semiHidden/>
    <w:rsid w:val="000716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6DBC-3F3F-4A79-A2D5-B6612169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Maria Lopes Aguiar</dc:creator>
  <cp:lastModifiedBy>Catarina Alves Sardinha</cp:lastModifiedBy>
  <cp:revision>5</cp:revision>
  <cp:lastPrinted>2023-05-18T15:21:00Z</cp:lastPrinted>
  <dcterms:created xsi:type="dcterms:W3CDTF">2023-05-01T18:47:00Z</dcterms:created>
  <dcterms:modified xsi:type="dcterms:W3CDTF">2023-05-18T15:21:00Z</dcterms:modified>
</cp:coreProperties>
</file>