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E33" w:rsidRDefault="00BC7E33"/>
    <w:p w:rsidR="00093D4B" w:rsidRPr="00093D4B" w:rsidRDefault="005759AD" w:rsidP="00093D4B">
      <w:pPr>
        <w:jc w:val="center"/>
        <w:rPr>
          <w:b/>
          <w:sz w:val="28"/>
        </w:rPr>
      </w:pPr>
      <w:r>
        <w:rPr>
          <w:b/>
          <w:sz w:val="28"/>
        </w:rPr>
        <w:t xml:space="preserve">8.2 - </w:t>
      </w:r>
      <w:r w:rsidR="00093D4B" w:rsidRPr="00093D4B">
        <w:rPr>
          <w:b/>
          <w:sz w:val="28"/>
        </w:rPr>
        <w:t>Notas ao Balanço e à Demonstração de Resultados por Natureza</w:t>
      </w:r>
    </w:p>
    <w:p w:rsidR="00093D4B" w:rsidRDefault="00093D4B" w:rsidP="009A2E06">
      <w:pPr>
        <w:jc w:val="both"/>
      </w:pPr>
    </w:p>
    <w:p w:rsidR="00093D4B" w:rsidRDefault="005759AD" w:rsidP="009A2E06">
      <w:pPr>
        <w:jc w:val="both"/>
      </w:pPr>
      <w:r>
        <w:t>8.2.1 – Bases de apresentação: As notas que se seguem estão organizadas com o Plano Oficial de Contabilidade Pública para o sector da Educação (POC-E). Os números não indicados neste anexo não são aplicáveis, ou não são relevantes.</w:t>
      </w:r>
    </w:p>
    <w:p w:rsidR="005759AD" w:rsidRDefault="005759AD" w:rsidP="009A2E06">
      <w:pPr>
        <w:jc w:val="both"/>
      </w:pPr>
    </w:p>
    <w:p w:rsidR="005759AD" w:rsidRDefault="005759AD" w:rsidP="009A2E06">
      <w:pPr>
        <w:jc w:val="both"/>
      </w:pPr>
      <w:r>
        <w:t>8.2.2 – As demonstrações financeiras anexas apresentam, sempre que existam, valores comparativos face ao ano anterior.</w:t>
      </w:r>
    </w:p>
    <w:p w:rsidR="005759AD" w:rsidRDefault="005759AD" w:rsidP="009A2E06">
      <w:pPr>
        <w:jc w:val="both"/>
      </w:pPr>
    </w:p>
    <w:p w:rsidR="005759AD" w:rsidRDefault="005759AD" w:rsidP="009A2E06">
      <w:pPr>
        <w:jc w:val="both"/>
      </w:pPr>
      <w:r>
        <w:t>8.2.3 – O critério utilizado na valorimetria das r</w:t>
      </w:r>
      <w:r w:rsidR="003E6E0B">
        <w:t>ú</w:t>
      </w:r>
      <w:r>
        <w:t>bricas do Balanço e Demonstração de Resultados foi o custo de aquisição (preço de compra acrescido dos gastos necessários, incluindo o IVA).</w:t>
      </w:r>
    </w:p>
    <w:p w:rsidR="005759AD" w:rsidRDefault="005759AD" w:rsidP="009A2E06">
      <w:pPr>
        <w:jc w:val="both"/>
      </w:pPr>
    </w:p>
    <w:p w:rsidR="005759AD" w:rsidRDefault="005759AD" w:rsidP="009A2E06">
      <w:pPr>
        <w:jc w:val="both"/>
      </w:pPr>
      <w:r>
        <w:t>8.2.7 – Os movimentos ocorridos nas contas do ativo imobilizado constantes do balanço e nas respetivas amortizações e provisões são os que constam do quadro.</w:t>
      </w:r>
    </w:p>
    <w:p w:rsidR="005759AD" w:rsidRDefault="005759AD" w:rsidP="009A2E06">
      <w:pPr>
        <w:jc w:val="both"/>
      </w:pPr>
    </w:p>
    <w:p w:rsidR="003E6E0B" w:rsidRDefault="005759AD" w:rsidP="009A2E06">
      <w:pPr>
        <w:jc w:val="both"/>
      </w:pPr>
      <w:r>
        <w:t xml:space="preserve">8.2.14 – Todos os ativos imobilizados detidos pela entidade à data encontram-se registados. </w:t>
      </w:r>
    </w:p>
    <w:p w:rsidR="003E6E0B" w:rsidRDefault="003E6E0B" w:rsidP="009A2E06">
      <w:pPr>
        <w:jc w:val="both"/>
      </w:pPr>
      <w:r>
        <w:t>O antigo imóvel,</w:t>
      </w:r>
      <w:bookmarkStart w:id="0" w:name="_GoBack"/>
      <w:bookmarkEnd w:id="0"/>
      <w:r>
        <w:t xml:space="preserve"> sito na Avenida Marginal, n.º 9, Lajes do Pico, referenciado nas Contas de Gerência anteriores deixou de fazer parte do património da Escola. A sua situação foi regularizada durante o presente ano em que foi efetuado o respetivo registo e abate.</w:t>
      </w:r>
    </w:p>
    <w:p w:rsidR="005759AD" w:rsidRDefault="005759AD" w:rsidP="009A2E06">
      <w:pPr>
        <w:jc w:val="both"/>
      </w:pPr>
      <w:r>
        <w:t>Os imóveis do novo edifício da EBS das Lajes do Pico ainda não estão contabilizados pois ainda não fazem parte do património da Escola.</w:t>
      </w:r>
    </w:p>
    <w:p w:rsidR="005759AD" w:rsidRDefault="005759AD" w:rsidP="009A2E06">
      <w:pPr>
        <w:jc w:val="both"/>
      </w:pPr>
    </w:p>
    <w:p w:rsidR="005759AD" w:rsidRDefault="005759AD" w:rsidP="009A2E06">
      <w:pPr>
        <w:jc w:val="both"/>
      </w:pPr>
      <w:r>
        <w:t>8.2.37 – A demonstração dos resultados financeiros consta do quadro.</w:t>
      </w:r>
    </w:p>
    <w:p w:rsidR="005759AD" w:rsidRDefault="005759AD" w:rsidP="009A2E06">
      <w:pPr>
        <w:jc w:val="both"/>
      </w:pPr>
    </w:p>
    <w:p w:rsidR="005759AD" w:rsidRDefault="005759AD" w:rsidP="009A2E06">
      <w:pPr>
        <w:jc w:val="both"/>
      </w:pPr>
      <w:r>
        <w:t>8.2.38 – A demonstração dos resultados extraordinários consta do quadro.</w:t>
      </w:r>
    </w:p>
    <w:p w:rsidR="00157677" w:rsidRDefault="00157677" w:rsidP="009A2E06">
      <w:pPr>
        <w:jc w:val="both"/>
      </w:pPr>
    </w:p>
    <w:p w:rsidR="00157677" w:rsidRDefault="00157677" w:rsidP="009A2E06">
      <w:pPr>
        <w:jc w:val="both"/>
      </w:pPr>
      <w:r>
        <w:t>8.2.39 – Para melhor interpretação das demonstrações financeiras, deve ainda ter-se em consideração os seguintes pontos</w:t>
      </w:r>
      <w:r w:rsidR="00C05A17">
        <w:t>:</w:t>
      </w:r>
    </w:p>
    <w:p w:rsidR="00C05A17" w:rsidRDefault="00C05A17" w:rsidP="009A2E06">
      <w:pPr>
        <w:jc w:val="both"/>
      </w:pPr>
      <w:r>
        <w:tab/>
        <w:t>1. Seguindo a Orientação-Norma interpretativa n.º1/2001 – Período complementar</w:t>
      </w:r>
      <w:r w:rsidR="000A2D9C">
        <w:t xml:space="preserve"> emitida pela Comissão de Normalização Contabilística da </w:t>
      </w:r>
      <w:r w:rsidR="00464E88">
        <w:t xml:space="preserve">Administração Pública, o balanço deverá refletir a situação de terceiros e disponibilidades antes da efetivação dos pagamentos </w:t>
      </w:r>
      <w:r w:rsidR="00464E88">
        <w:lastRenderedPageBreak/>
        <w:t>relativos ao período complementar (31 de dezembro), enquanto na execução orçamental, os mapas de fluxos de caixa e do controlo orçamental, evidenciam a totalidade dos pagamentos do exercício do ano, incluindo os efetuados durante o período complementar.</w:t>
      </w:r>
    </w:p>
    <w:p w:rsidR="00464E88" w:rsidRDefault="00464E88" w:rsidP="009A2E06">
      <w:pPr>
        <w:jc w:val="both"/>
      </w:pPr>
      <w:r>
        <w:tab/>
        <w:t xml:space="preserve">2. </w:t>
      </w:r>
      <w:r w:rsidR="00250748">
        <w:t xml:space="preserve">Seguindo a orientação – Norma Interpretativa </w:t>
      </w:r>
      <w:proofErr w:type="gramStart"/>
      <w:r w:rsidR="00250748">
        <w:t>n.º</w:t>
      </w:r>
      <w:proofErr w:type="gramEnd"/>
      <w:r w:rsidR="00250748">
        <w:t>2/2001 – Movimentação da conta 25 – Devedores e credores pela execução do orçamento do POCP, as dívidas de e a terceiros não transitam para a conta 25 – Devedores e credores pela execução do orçamento, ficando registadas nas contas originárias.</w:t>
      </w:r>
    </w:p>
    <w:p w:rsidR="00250748" w:rsidRDefault="00250748"/>
    <w:p w:rsidR="00250748" w:rsidRDefault="00250748">
      <w:pPr>
        <w:rPr>
          <w:b/>
          <w:sz w:val="28"/>
        </w:rPr>
      </w:pPr>
      <w:r>
        <w:rPr>
          <w:b/>
          <w:sz w:val="28"/>
        </w:rPr>
        <w:t xml:space="preserve">8.3 – </w:t>
      </w:r>
      <w:r w:rsidRPr="00093D4B">
        <w:rPr>
          <w:b/>
          <w:sz w:val="28"/>
        </w:rPr>
        <w:t>Notas</w:t>
      </w:r>
      <w:r>
        <w:rPr>
          <w:b/>
          <w:sz w:val="28"/>
        </w:rPr>
        <w:t xml:space="preserve"> sobre o processo orçamental e respetiva execução</w:t>
      </w:r>
    </w:p>
    <w:p w:rsidR="00250748" w:rsidRDefault="00250748"/>
    <w:p w:rsidR="00250748" w:rsidRDefault="00250748" w:rsidP="009A2E06">
      <w:pPr>
        <w:jc w:val="both"/>
      </w:pPr>
      <w:r>
        <w:t>8.3.1 – Os mapas com as alterações orçamentais da Despesa e Receita constam da relação anexa às presentes datas.</w:t>
      </w:r>
    </w:p>
    <w:p w:rsidR="00250748" w:rsidRDefault="00250748" w:rsidP="009A2E06">
      <w:pPr>
        <w:jc w:val="both"/>
      </w:pPr>
      <w:r>
        <w:t>8.3.4 – As transferências do orçamento da Região destinadas a garantir despesas correntes e de capital, recebidas durante a presente gerência, encontram-se discriminadas no mapa em anexo.</w:t>
      </w:r>
    </w:p>
    <w:p w:rsidR="00250748" w:rsidRDefault="00250748"/>
    <w:p w:rsidR="00250748" w:rsidRDefault="00250748" w:rsidP="00250748">
      <w:pPr>
        <w:rPr>
          <w:b/>
          <w:sz w:val="28"/>
        </w:rPr>
      </w:pPr>
      <w:r>
        <w:rPr>
          <w:b/>
          <w:sz w:val="28"/>
        </w:rPr>
        <w:t xml:space="preserve">8.4 – </w:t>
      </w:r>
      <w:r w:rsidRPr="00093D4B">
        <w:rPr>
          <w:b/>
          <w:sz w:val="28"/>
        </w:rPr>
        <w:t>Notas</w:t>
      </w:r>
      <w:r>
        <w:rPr>
          <w:b/>
          <w:sz w:val="28"/>
        </w:rPr>
        <w:t xml:space="preserve"> sobre a contabilidade analítica</w:t>
      </w:r>
    </w:p>
    <w:p w:rsidR="00250748" w:rsidRDefault="00250748" w:rsidP="009A2E06">
      <w:pPr>
        <w:jc w:val="both"/>
      </w:pPr>
    </w:p>
    <w:p w:rsidR="00250748" w:rsidRDefault="00250748" w:rsidP="009A2E06">
      <w:pPr>
        <w:jc w:val="both"/>
      </w:pPr>
      <w:r>
        <w:t>A contabilidade analítica nest</w:t>
      </w:r>
      <w:r w:rsidR="009A2E06">
        <w:t>a</w:t>
      </w:r>
      <w:r>
        <w:t xml:space="preserve"> escola ainda não se encontra implementada dado que se encontra em fase de consolidação a implementação da contabilidade patrimonial, processo anterior e imprescindível para o desenvolvimento de uma contabilidade analítica fiável.</w:t>
      </w:r>
    </w:p>
    <w:sectPr w:rsidR="0025074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D4B" w:rsidRDefault="00093D4B" w:rsidP="00093D4B">
      <w:pPr>
        <w:spacing w:after="0" w:line="240" w:lineRule="auto"/>
      </w:pPr>
      <w:r>
        <w:separator/>
      </w:r>
    </w:p>
  </w:endnote>
  <w:endnote w:type="continuationSeparator" w:id="0">
    <w:p w:rsidR="00093D4B" w:rsidRDefault="00093D4B" w:rsidP="0009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D4B" w:rsidRDefault="00093D4B" w:rsidP="00093D4B">
      <w:pPr>
        <w:spacing w:after="0" w:line="240" w:lineRule="auto"/>
      </w:pPr>
      <w:r>
        <w:separator/>
      </w:r>
    </w:p>
  </w:footnote>
  <w:footnote w:type="continuationSeparator" w:id="0">
    <w:p w:rsidR="00093D4B" w:rsidRDefault="00093D4B" w:rsidP="00093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D4B" w:rsidRDefault="00093D4B">
    <w:pPr>
      <w:pStyle w:val="Cabealho"/>
    </w:pPr>
    <w:bookmarkStart w:id="1" w:name="OLE_LINK1"/>
    <w:r>
      <w:rPr>
        <w:noProof/>
      </w:rPr>
      <w:drawing>
        <wp:inline distT="0" distB="0" distL="0" distR="0">
          <wp:extent cx="5400040" cy="112947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29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D4B"/>
    <w:rsid w:val="00093D4B"/>
    <w:rsid w:val="000A2D9C"/>
    <w:rsid w:val="00157677"/>
    <w:rsid w:val="00250748"/>
    <w:rsid w:val="003E6E0B"/>
    <w:rsid w:val="00464E88"/>
    <w:rsid w:val="005759AD"/>
    <w:rsid w:val="00851665"/>
    <w:rsid w:val="009A2E06"/>
    <w:rsid w:val="00BC7E33"/>
    <w:rsid w:val="00C0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6364B"/>
  <w15:chartTrackingRefBased/>
  <w15:docId w15:val="{474E62D4-6C57-4D2B-850E-D41F7A46A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93D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93D4B"/>
  </w:style>
  <w:style w:type="paragraph" w:styleId="Rodap">
    <w:name w:val="footer"/>
    <w:basedOn w:val="Normal"/>
    <w:link w:val="RodapCarter"/>
    <w:uiPriority w:val="99"/>
    <w:unhideWhenUsed/>
    <w:rsid w:val="00093D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9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471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Jorge</dc:creator>
  <cp:keywords/>
  <dc:description/>
  <cp:lastModifiedBy>Tiago Jorge</cp:lastModifiedBy>
  <cp:revision>4</cp:revision>
  <dcterms:created xsi:type="dcterms:W3CDTF">2020-01-27T16:17:00Z</dcterms:created>
  <dcterms:modified xsi:type="dcterms:W3CDTF">2020-02-07T15:13:00Z</dcterms:modified>
</cp:coreProperties>
</file>