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5E" w:rsidRPr="00A63E5E" w:rsidRDefault="00A63E5E" w:rsidP="00A63E5E">
      <w:pPr>
        <w:jc w:val="center"/>
        <w:rPr>
          <w:rFonts w:ascii="Arial" w:eastAsia="+mj-ea" w:hAnsi="Arial" w:cs="Arial"/>
          <w:b/>
          <w:bCs/>
          <w:color w:val="406F8D"/>
          <w:kern w:val="24"/>
          <w:sz w:val="40"/>
          <w:szCs w:val="40"/>
        </w:rPr>
      </w:pPr>
      <w:r w:rsidRPr="00A63E5E">
        <w:rPr>
          <w:rFonts w:ascii="Arial" w:eastAsia="+mj-ea" w:hAnsi="Arial" w:cs="Arial"/>
          <w:b/>
          <w:bCs/>
          <w:color w:val="406F8D"/>
          <w:kern w:val="24"/>
          <w:sz w:val="40"/>
          <w:szCs w:val="40"/>
        </w:rPr>
        <w:t>Calendarização</w:t>
      </w:r>
    </w:p>
    <w:p w:rsidR="00A63E5E" w:rsidRDefault="00A63E5E">
      <w:pPr>
        <w:rPr>
          <w:rFonts w:ascii="Arial" w:eastAsia="+mj-ea" w:hAnsi="Arial" w:cs="Arial"/>
          <w:b/>
          <w:bCs/>
          <w:color w:val="406F8D"/>
          <w:kern w:val="24"/>
          <w:sz w:val="48"/>
          <w:szCs w:val="48"/>
        </w:rPr>
      </w:pPr>
    </w:p>
    <w:p w:rsidR="00A63E5E" w:rsidRDefault="00A63E5E" w:rsidP="00A63E5E">
      <w:pPr>
        <w:pStyle w:val="NormalWeb"/>
        <w:spacing w:before="60" w:beforeAutospacing="0" w:after="0" w:afterAutospacing="0" w:line="360" w:lineRule="auto"/>
      </w:pPr>
      <w:r>
        <w:rPr>
          <w:rFonts w:ascii="Arial" w:hAnsi="Arial" w:cs="Arial"/>
          <w:b/>
          <w:bCs/>
          <w:color w:val="44546A" w:themeColor="text2"/>
          <w:kern w:val="24"/>
          <w:sz w:val="36"/>
          <w:szCs w:val="36"/>
        </w:rPr>
        <w:t>a) Planeamento do processo de avaliação;</w:t>
      </w:r>
    </w:p>
    <w:p w:rsidR="00A63E5E" w:rsidRDefault="00A63E5E" w:rsidP="00A63E5E">
      <w:pPr>
        <w:pStyle w:val="NormalWeb"/>
        <w:spacing w:before="60" w:beforeAutospacing="0" w:after="0" w:afterAutospacing="0" w:line="360" w:lineRule="auto"/>
      </w:pPr>
      <w:r>
        <w:rPr>
          <w:rFonts w:ascii="Arial" w:hAnsi="Arial" w:cs="Arial"/>
          <w:color w:val="44546A" w:themeColor="text2"/>
          <w:kern w:val="24"/>
          <w:sz w:val="32"/>
          <w:szCs w:val="32"/>
        </w:rPr>
        <w:t>(Deve ocorrer no 1º trimestre do período avaliativo – 1 de setembro a 30 de novembro)</w:t>
      </w:r>
    </w:p>
    <w:p w:rsidR="00A63E5E" w:rsidRDefault="00A63E5E" w:rsidP="00A63E5E">
      <w:pPr>
        <w:pStyle w:val="PargrafodaLista"/>
        <w:numPr>
          <w:ilvl w:val="2"/>
          <w:numId w:val="1"/>
        </w:numPr>
        <w:spacing w:line="360" w:lineRule="auto"/>
        <w:jc w:val="both"/>
        <w:rPr>
          <w:rFonts w:eastAsia="Times New Roman"/>
          <w:color w:val="5B9BD5"/>
          <w:sz w:val="32"/>
        </w:rPr>
      </w:pPr>
      <w:r>
        <w:rPr>
          <w:rFonts w:ascii="Arial" w:hAnsi="Arial" w:cs="Arial"/>
          <w:b/>
          <w:bCs/>
          <w:color w:val="44546A" w:themeColor="text2"/>
          <w:kern w:val="24"/>
          <w:sz w:val="32"/>
          <w:szCs w:val="32"/>
          <w:u w:val="single"/>
        </w:rPr>
        <w:t>Até 30 de setembro</w:t>
      </w:r>
      <w:r>
        <w:rPr>
          <w:rFonts w:ascii="Arial" w:hAnsi="Arial" w:cs="Arial"/>
          <w:b/>
          <w:bCs/>
          <w:color w:val="44546A" w:themeColor="text2"/>
          <w:kern w:val="24"/>
          <w:sz w:val="32"/>
          <w:szCs w:val="32"/>
        </w:rPr>
        <w:t xml:space="preserve"> </w:t>
      </w:r>
      <w:r>
        <w:rPr>
          <w:rFonts w:ascii="Arial" w:hAnsi="Arial" w:cs="Arial"/>
          <w:color w:val="44546A" w:themeColor="text2"/>
          <w:kern w:val="24"/>
          <w:sz w:val="32"/>
          <w:szCs w:val="32"/>
        </w:rPr>
        <w:t>– a DRE inicia o processo de negocia</w:t>
      </w:r>
      <w:bookmarkStart w:id="0" w:name="_GoBack"/>
      <w:bookmarkEnd w:id="0"/>
      <w:r>
        <w:rPr>
          <w:rFonts w:ascii="Arial" w:hAnsi="Arial" w:cs="Arial"/>
          <w:color w:val="44546A" w:themeColor="text2"/>
          <w:kern w:val="24"/>
          <w:sz w:val="32"/>
          <w:szCs w:val="32"/>
        </w:rPr>
        <w:t>ção dos parâmetros de avaliação, remete</w:t>
      </w:r>
      <w:r>
        <w:rPr>
          <w:rFonts w:ascii="Arial" w:hAnsi="Arial" w:cs="Arial"/>
          <w:color w:val="44546A" w:themeColor="text2"/>
          <w:kern w:val="24"/>
          <w:sz w:val="32"/>
          <w:szCs w:val="32"/>
        </w:rPr>
        <w:t>ndo a cada órgão executivo, uma</w:t>
      </w:r>
      <w:r>
        <w:rPr>
          <w:rFonts w:ascii="Arial" w:hAnsi="Arial" w:cs="Arial"/>
          <w:color w:val="44546A" w:themeColor="text2"/>
          <w:kern w:val="24"/>
          <w:sz w:val="32"/>
          <w:szCs w:val="32"/>
        </w:rPr>
        <w:t xml:space="preserve"> proposta de metas e competências a acordar.</w:t>
      </w:r>
    </w:p>
    <w:p w:rsidR="00A63E5E" w:rsidRDefault="00A63E5E" w:rsidP="00A63E5E">
      <w:pPr>
        <w:pStyle w:val="PargrafodaLista"/>
        <w:numPr>
          <w:ilvl w:val="2"/>
          <w:numId w:val="1"/>
        </w:numPr>
        <w:spacing w:line="360" w:lineRule="auto"/>
        <w:jc w:val="both"/>
        <w:rPr>
          <w:rFonts w:eastAsia="Times New Roman"/>
          <w:color w:val="5B9BD5"/>
          <w:sz w:val="32"/>
        </w:rPr>
      </w:pPr>
      <w:r>
        <w:rPr>
          <w:rFonts w:ascii="Arial" w:hAnsi="Arial" w:cs="Arial"/>
          <w:color w:val="44546A" w:themeColor="text2"/>
          <w:kern w:val="24"/>
          <w:sz w:val="32"/>
          <w:szCs w:val="32"/>
        </w:rPr>
        <w:t>O órgão executivo deve pronunciar</w:t>
      </w:r>
      <w:r>
        <w:rPr>
          <w:rFonts w:ascii="Arial" w:hAnsi="Arial" w:cs="Arial"/>
          <w:color w:val="44546A" w:themeColor="text2"/>
          <w:kern w:val="24"/>
          <w:sz w:val="32"/>
          <w:szCs w:val="32"/>
        </w:rPr>
        <w:t xml:space="preserve">-se sobre a referida proposta, </w:t>
      </w:r>
      <w:r>
        <w:rPr>
          <w:rFonts w:ascii="Arial" w:hAnsi="Arial" w:cs="Arial"/>
          <w:b/>
          <w:bCs/>
          <w:color w:val="44546A" w:themeColor="text2"/>
          <w:kern w:val="24"/>
          <w:sz w:val="32"/>
          <w:szCs w:val="32"/>
        </w:rPr>
        <w:t>no prazo de 10 dias</w:t>
      </w:r>
      <w:r>
        <w:rPr>
          <w:rFonts w:ascii="Arial" w:hAnsi="Arial" w:cs="Arial"/>
          <w:color w:val="44546A" w:themeColor="text2"/>
          <w:kern w:val="24"/>
          <w:sz w:val="32"/>
          <w:szCs w:val="32"/>
        </w:rPr>
        <w:t>, sugerindo, eventualmente, alterações à mesma.</w:t>
      </w:r>
    </w:p>
    <w:p w:rsidR="00A63E5E" w:rsidRDefault="00A63E5E" w:rsidP="00A63E5E">
      <w:pPr>
        <w:pStyle w:val="PargrafodaLista"/>
        <w:numPr>
          <w:ilvl w:val="2"/>
          <w:numId w:val="1"/>
        </w:numPr>
        <w:spacing w:line="360" w:lineRule="auto"/>
        <w:jc w:val="both"/>
        <w:rPr>
          <w:rFonts w:eastAsia="Times New Roman"/>
          <w:color w:val="5B9BD5"/>
          <w:sz w:val="32"/>
        </w:rPr>
      </w:pPr>
      <w:r>
        <w:rPr>
          <w:rFonts w:ascii="Arial" w:hAnsi="Arial" w:cs="Arial"/>
          <w:b/>
          <w:bCs/>
          <w:color w:val="44546A" w:themeColor="text2"/>
          <w:kern w:val="24"/>
          <w:sz w:val="32"/>
          <w:szCs w:val="32"/>
          <w:u w:val="single"/>
        </w:rPr>
        <w:t>Até  30 de outubro</w:t>
      </w:r>
      <w:r>
        <w:rPr>
          <w:rFonts w:ascii="Arial" w:hAnsi="Arial" w:cs="Arial"/>
          <w:b/>
          <w:bCs/>
          <w:color w:val="44546A" w:themeColor="text2"/>
          <w:kern w:val="24"/>
          <w:sz w:val="32"/>
          <w:szCs w:val="32"/>
        </w:rPr>
        <w:t xml:space="preserve"> </w:t>
      </w:r>
      <w:r>
        <w:rPr>
          <w:rFonts w:ascii="Arial" w:hAnsi="Arial" w:cs="Arial"/>
          <w:color w:val="44546A" w:themeColor="text2"/>
          <w:kern w:val="24"/>
          <w:sz w:val="32"/>
          <w:szCs w:val="32"/>
        </w:rPr>
        <w:t>– O processo de negociação das metas e competências deverá estar concluído, devendo o órgão executivo proceder  de seguida ao preenchimento da ficha de avaliação do desempenho, com as metas e competências acordadas.</w:t>
      </w:r>
    </w:p>
    <w:p w:rsidR="00A63E5E" w:rsidRPr="00A63E5E" w:rsidRDefault="00A63E5E" w:rsidP="00A63E5E">
      <w:pPr>
        <w:pStyle w:val="PargrafodaLista"/>
        <w:numPr>
          <w:ilvl w:val="2"/>
          <w:numId w:val="1"/>
        </w:numPr>
        <w:spacing w:line="360" w:lineRule="auto"/>
        <w:jc w:val="both"/>
        <w:rPr>
          <w:rFonts w:eastAsia="Times New Roman"/>
          <w:color w:val="5B9BD5"/>
          <w:sz w:val="32"/>
        </w:rPr>
      </w:pPr>
      <w:r>
        <w:rPr>
          <w:rFonts w:ascii="Arial" w:hAnsi="Arial" w:cs="Arial"/>
          <w:b/>
          <w:bCs/>
          <w:color w:val="44546A" w:themeColor="text2"/>
          <w:kern w:val="24"/>
          <w:sz w:val="32"/>
          <w:szCs w:val="32"/>
          <w:u w:val="single"/>
        </w:rPr>
        <w:t>Até 15 de novembro</w:t>
      </w:r>
      <w:r>
        <w:rPr>
          <w:rFonts w:ascii="Arial" w:hAnsi="Arial" w:cs="Arial"/>
          <w:b/>
          <w:bCs/>
          <w:color w:val="44546A" w:themeColor="text2"/>
          <w:kern w:val="24"/>
          <w:sz w:val="32"/>
          <w:szCs w:val="32"/>
        </w:rPr>
        <w:t xml:space="preserve"> </w:t>
      </w:r>
      <w:r>
        <w:rPr>
          <w:rFonts w:ascii="Arial" w:hAnsi="Arial" w:cs="Arial"/>
          <w:color w:val="44546A" w:themeColor="text2"/>
          <w:kern w:val="24"/>
          <w:sz w:val="32"/>
          <w:szCs w:val="32"/>
        </w:rPr>
        <w:t>– Deve dar entrada na DRE, a ficha de avaliação do desempenho devidamente preenchida e assinada.</w:t>
      </w:r>
    </w:p>
    <w:p w:rsidR="00A63E5E" w:rsidRPr="00A63E5E" w:rsidRDefault="00A63E5E" w:rsidP="00A63E5E">
      <w:pPr>
        <w:spacing w:line="360" w:lineRule="auto"/>
        <w:ind w:left="1800"/>
        <w:jc w:val="both"/>
        <w:rPr>
          <w:rFonts w:eastAsia="Times New Roman"/>
          <w:color w:val="5B9BD5"/>
          <w:sz w:val="32"/>
        </w:rPr>
      </w:pPr>
    </w:p>
    <w:p w:rsidR="00A63E5E" w:rsidRDefault="00A63E5E" w:rsidP="00A63E5E">
      <w:pPr>
        <w:pStyle w:val="NormalWeb"/>
        <w:spacing w:before="60" w:beforeAutospacing="0" w:after="0" w:afterAutospacing="0" w:line="360" w:lineRule="auto"/>
      </w:pPr>
      <w:r>
        <w:rPr>
          <w:rFonts w:ascii="Arial" w:hAnsi="Arial" w:cs="Arial"/>
          <w:b/>
          <w:bCs/>
          <w:color w:val="44546A" w:themeColor="text2"/>
          <w:kern w:val="24"/>
          <w:sz w:val="36"/>
          <w:szCs w:val="36"/>
        </w:rPr>
        <w:lastRenderedPageBreak/>
        <w:t>b) Monitorização;</w:t>
      </w:r>
    </w:p>
    <w:p w:rsidR="00A63E5E" w:rsidRDefault="00A63E5E" w:rsidP="00A63E5E">
      <w:pPr>
        <w:pStyle w:val="NormalWeb"/>
        <w:spacing w:before="60" w:beforeAutospacing="0" w:after="0" w:afterAutospacing="0" w:line="360" w:lineRule="auto"/>
        <w:ind w:left="1440"/>
        <w:rPr>
          <w:rFonts w:ascii="Arial" w:hAnsi="Arial" w:cs="Arial"/>
          <w:color w:val="44546A" w:themeColor="text2"/>
          <w:kern w:val="24"/>
          <w:sz w:val="32"/>
          <w:szCs w:val="32"/>
        </w:rPr>
      </w:pPr>
      <w:r>
        <w:rPr>
          <w:rFonts w:ascii="Arial" w:hAnsi="Arial" w:cs="Arial"/>
          <w:color w:val="44546A" w:themeColor="text2"/>
          <w:kern w:val="24"/>
          <w:sz w:val="32"/>
          <w:szCs w:val="32"/>
        </w:rPr>
        <w:t>No decorrer do período avaliativo.</w:t>
      </w:r>
    </w:p>
    <w:p w:rsidR="00A63E5E" w:rsidRDefault="00A63E5E" w:rsidP="00A63E5E">
      <w:pPr>
        <w:pStyle w:val="NormalWeb"/>
        <w:spacing w:before="60" w:beforeAutospacing="0" w:after="0" w:afterAutospacing="0" w:line="360" w:lineRule="auto"/>
        <w:ind w:left="1440"/>
        <w:rPr>
          <w:rFonts w:ascii="Arial" w:hAnsi="Arial" w:cs="Arial"/>
          <w:color w:val="44546A" w:themeColor="text2"/>
          <w:kern w:val="24"/>
          <w:sz w:val="32"/>
          <w:szCs w:val="32"/>
        </w:rPr>
      </w:pPr>
    </w:p>
    <w:p w:rsidR="00A63E5E" w:rsidRPr="00A63E5E" w:rsidRDefault="00A63E5E" w:rsidP="00A63E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63E5E">
        <w:rPr>
          <w:rFonts w:ascii="Arial" w:eastAsia="+mn-ea" w:hAnsi="Arial" w:cs="Arial"/>
          <w:b/>
          <w:bCs/>
          <w:color w:val="424456"/>
          <w:kern w:val="24"/>
          <w:sz w:val="36"/>
          <w:szCs w:val="36"/>
          <w:lang w:eastAsia="pt-PT"/>
        </w:rPr>
        <w:t>c) Autoavaliação e avaliação;</w:t>
      </w:r>
    </w:p>
    <w:p w:rsidR="00A63E5E" w:rsidRDefault="00A63E5E" w:rsidP="00A63E5E">
      <w:pPr>
        <w:spacing w:after="0" w:line="360" w:lineRule="auto"/>
        <w:ind w:left="1440"/>
        <w:jc w:val="both"/>
        <w:rPr>
          <w:rFonts w:ascii="Arial" w:eastAsia="+mn-ea" w:hAnsi="Arial" w:cs="Arial"/>
          <w:color w:val="424456"/>
          <w:kern w:val="24"/>
          <w:sz w:val="32"/>
          <w:szCs w:val="32"/>
          <w:lang w:eastAsia="pt-PT"/>
        </w:rPr>
      </w:pPr>
      <w:r w:rsidRPr="00A63E5E">
        <w:rPr>
          <w:rFonts w:ascii="Arial" w:eastAsia="+mn-ea" w:hAnsi="Arial" w:cs="Arial"/>
          <w:color w:val="424456"/>
          <w:kern w:val="24"/>
          <w:sz w:val="32"/>
          <w:szCs w:val="32"/>
          <w:lang w:eastAsia="pt-PT"/>
        </w:rPr>
        <w:t>Autoavaliação até 30 dias antes do termo do período avaliativo e conclusão do processo de avaliação até final do mês de outubro do ano em que termina o mandato.</w:t>
      </w:r>
    </w:p>
    <w:p w:rsidR="00A63E5E" w:rsidRPr="00A63E5E" w:rsidRDefault="00A63E5E" w:rsidP="00A63E5E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A63E5E" w:rsidRPr="00A63E5E" w:rsidRDefault="00A63E5E" w:rsidP="00A63E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63E5E">
        <w:rPr>
          <w:rFonts w:ascii="Arial" w:eastAsia="+mn-ea" w:hAnsi="Arial" w:cs="Arial"/>
          <w:b/>
          <w:bCs/>
          <w:color w:val="424456"/>
          <w:kern w:val="24"/>
          <w:sz w:val="36"/>
          <w:szCs w:val="36"/>
          <w:lang w:eastAsia="pt-PT"/>
        </w:rPr>
        <w:t>d) Notificação da proposta de avaliação;</w:t>
      </w:r>
    </w:p>
    <w:p w:rsidR="00A63E5E" w:rsidRDefault="00A63E5E" w:rsidP="00A63E5E">
      <w:pPr>
        <w:spacing w:after="0" w:line="360" w:lineRule="auto"/>
        <w:ind w:left="1440"/>
        <w:rPr>
          <w:rFonts w:ascii="Arial" w:eastAsia="+mn-ea" w:hAnsi="Arial" w:cs="Arial"/>
          <w:color w:val="424456"/>
          <w:kern w:val="24"/>
          <w:sz w:val="32"/>
          <w:szCs w:val="32"/>
          <w:lang w:eastAsia="pt-PT"/>
        </w:rPr>
      </w:pPr>
      <w:r w:rsidRPr="00A63E5E">
        <w:rPr>
          <w:rFonts w:ascii="Arial" w:eastAsia="+mn-ea" w:hAnsi="Arial" w:cs="Arial"/>
          <w:color w:val="424456"/>
          <w:kern w:val="24"/>
          <w:sz w:val="32"/>
          <w:szCs w:val="32"/>
          <w:lang w:eastAsia="pt-PT"/>
        </w:rPr>
        <w:t>Durante o mês de setembro do ano em que termina o mandato.</w:t>
      </w:r>
    </w:p>
    <w:p w:rsidR="00A63E5E" w:rsidRPr="00A63E5E" w:rsidRDefault="00A63E5E" w:rsidP="00A63E5E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A63E5E" w:rsidRPr="00A63E5E" w:rsidRDefault="00A63E5E" w:rsidP="00A63E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63E5E">
        <w:rPr>
          <w:rFonts w:ascii="Arial" w:eastAsia="+mn-ea" w:hAnsi="Arial" w:cs="Arial"/>
          <w:b/>
          <w:bCs/>
          <w:color w:val="424456"/>
          <w:kern w:val="24"/>
          <w:sz w:val="36"/>
          <w:szCs w:val="36"/>
          <w:lang w:eastAsia="pt-PT"/>
        </w:rPr>
        <w:t>e) Validação da avaliação;</w:t>
      </w:r>
    </w:p>
    <w:p w:rsidR="00A63E5E" w:rsidRDefault="00A63E5E" w:rsidP="00A63E5E">
      <w:pPr>
        <w:spacing w:after="0" w:line="360" w:lineRule="auto"/>
        <w:ind w:left="1440"/>
        <w:jc w:val="both"/>
        <w:rPr>
          <w:rFonts w:ascii="Arial" w:eastAsia="+mn-ea" w:hAnsi="Arial" w:cs="Arial"/>
          <w:color w:val="424456"/>
          <w:kern w:val="24"/>
          <w:sz w:val="32"/>
          <w:szCs w:val="32"/>
          <w:lang w:eastAsia="pt-PT"/>
        </w:rPr>
      </w:pPr>
      <w:r w:rsidRPr="00A63E5E">
        <w:rPr>
          <w:rFonts w:ascii="Arial" w:eastAsia="+mn-ea" w:hAnsi="Arial" w:cs="Arial"/>
          <w:color w:val="424456"/>
          <w:kern w:val="24"/>
          <w:sz w:val="32"/>
          <w:szCs w:val="32"/>
          <w:lang w:eastAsia="pt-PT"/>
        </w:rPr>
        <w:t xml:space="preserve">Realização de reunião do Conselho Coordenador de Avaliação, tendo em vista a validação das propostas de avaliação com menções de </w:t>
      </w:r>
      <w:r w:rsidRPr="00A63E5E">
        <w:rPr>
          <w:rFonts w:ascii="Arial" w:eastAsia="+mn-ea" w:hAnsi="Arial" w:cs="Arial"/>
          <w:i/>
          <w:iCs/>
          <w:color w:val="424456"/>
          <w:kern w:val="24"/>
          <w:sz w:val="32"/>
          <w:szCs w:val="32"/>
          <w:lang w:eastAsia="pt-PT"/>
        </w:rPr>
        <w:t>Excelente</w:t>
      </w:r>
      <w:r w:rsidRPr="00A63E5E">
        <w:rPr>
          <w:rFonts w:ascii="Arial" w:eastAsia="+mn-ea" w:hAnsi="Arial" w:cs="Arial"/>
          <w:color w:val="424456"/>
          <w:kern w:val="24"/>
          <w:sz w:val="32"/>
          <w:szCs w:val="32"/>
          <w:lang w:eastAsia="pt-PT"/>
        </w:rPr>
        <w:t xml:space="preserve">, </w:t>
      </w:r>
      <w:r w:rsidRPr="00A63E5E">
        <w:rPr>
          <w:rFonts w:ascii="Arial" w:eastAsia="+mn-ea" w:hAnsi="Arial" w:cs="Arial"/>
          <w:i/>
          <w:iCs/>
          <w:color w:val="424456"/>
          <w:kern w:val="24"/>
          <w:sz w:val="32"/>
          <w:szCs w:val="32"/>
          <w:lang w:eastAsia="pt-PT"/>
        </w:rPr>
        <w:t>Muito Bom</w:t>
      </w:r>
      <w:r w:rsidRPr="00A63E5E">
        <w:rPr>
          <w:rFonts w:ascii="Arial" w:eastAsia="+mn-ea" w:hAnsi="Arial" w:cs="Arial"/>
          <w:color w:val="424456"/>
          <w:kern w:val="24"/>
          <w:sz w:val="32"/>
          <w:szCs w:val="32"/>
          <w:lang w:eastAsia="pt-PT"/>
        </w:rPr>
        <w:t xml:space="preserve"> e </w:t>
      </w:r>
      <w:r w:rsidRPr="00A63E5E">
        <w:rPr>
          <w:rFonts w:ascii="Arial" w:eastAsia="+mn-ea" w:hAnsi="Arial" w:cs="Arial"/>
          <w:i/>
          <w:iCs/>
          <w:color w:val="424456"/>
          <w:kern w:val="24"/>
          <w:sz w:val="32"/>
          <w:szCs w:val="32"/>
          <w:lang w:eastAsia="pt-PT"/>
        </w:rPr>
        <w:t>Insuficiente</w:t>
      </w:r>
      <w:r w:rsidRPr="00A63E5E">
        <w:rPr>
          <w:rFonts w:ascii="Arial" w:eastAsia="+mn-ea" w:hAnsi="Arial" w:cs="Arial"/>
          <w:color w:val="424456"/>
          <w:kern w:val="24"/>
          <w:sz w:val="32"/>
          <w:szCs w:val="32"/>
          <w:lang w:eastAsia="pt-PT"/>
        </w:rPr>
        <w:t>.</w:t>
      </w:r>
    </w:p>
    <w:p w:rsidR="00A63E5E" w:rsidRPr="00A63E5E" w:rsidRDefault="00A63E5E" w:rsidP="00A63E5E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A63E5E" w:rsidRPr="00A63E5E" w:rsidRDefault="00A63E5E" w:rsidP="00A63E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63E5E">
        <w:rPr>
          <w:rFonts w:ascii="Arial" w:eastAsia="+mn-ea" w:hAnsi="Arial" w:cs="Arial"/>
          <w:b/>
          <w:bCs/>
          <w:color w:val="424456"/>
          <w:kern w:val="24"/>
          <w:sz w:val="36"/>
          <w:szCs w:val="36"/>
          <w:lang w:eastAsia="pt-PT"/>
        </w:rPr>
        <w:t>f) Homologação;</w:t>
      </w:r>
    </w:p>
    <w:p w:rsidR="00A63E5E" w:rsidRDefault="00A63E5E" w:rsidP="00A63E5E">
      <w:pPr>
        <w:spacing w:after="0" w:line="360" w:lineRule="auto"/>
        <w:ind w:left="1440"/>
        <w:rPr>
          <w:rFonts w:ascii="Arial" w:eastAsia="+mn-ea" w:hAnsi="Arial" w:cs="Arial"/>
          <w:color w:val="424456"/>
          <w:kern w:val="24"/>
          <w:sz w:val="32"/>
          <w:szCs w:val="32"/>
          <w:lang w:eastAsia="pt-PT"/>
        </w:rPr>
      </w:pPr>
      <w:r w:rsidRPr="00A63E5E">
        <w:rPr>
          <w:rFonts w:ascii="Arial" w:eastAsia="+mn-ea" w:hAnsi="Arial" w:cs="Arial"/>
          <w:color w:val="424456"/>
          <w:kern w:val="24"/>
          <w:sz w:val="32"/>
          <w:szCs w:val="32"/>
          <w:lang w:eastAsia="pt-PT"/>
        </w:rPr>
        <w:t>Deve, em regra, ser efetuada até ao final do mês de outubro.</w:t>
      </w:r>
    </w:p>
    <w:p w:rsidR="00A63E5E" w:rsidRPr="00A63E5E" w:rsidRDefault="00A63E5E" w:rsidP="00A63E5E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A63E5E" w:rsidRPr="00A63E5E" w:rsidRDefault="00A63E5E" w:rsidP="00A63E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63E5E">
        <w:rPr>
          <w:rFonts w:ascii="Arial" w:eastAsia="+mn-ea" w:hAnsi="Arial" w:cs="Arial"/>
          <w:b/>
          <w:bCs/>
          <w:color w:val="424456"/>
          <w:kern w:val="24"/>
          <w:sz w:val="36"/>
          <w:szCs w:val="36"/>
          <w:lang w:eastAsia="pt-PT"/>
        </w:rPr>
        <w:t>g) Reclamação e outras impugnações.</w:t>
      </w:r>
    </w:p>
    <w:p w:rsidR="00A63E5E" w:rsidRPr="00A63E5E" w:rsidRDefault="00A63E5E" w:rsidP="00A63E5E">
      <w:pPr>
        <w:spacing w:after="0" w:line="360" w:lineRule="auto"/>
        <w:ind w:left="1411" w:hanging="123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63E5E">
        <w:rPr>
          <w:rFonts w:ascii="Arial" w:eastAsia="+mn-ea" w:hAnsi="Arial" w:cs="Arial"/>
          <w:color w:val="424456"/>
          <w:kern w:val="24"/>
          <w:sz w:val="32"/>
          <w:szCs w:val="32"/>
          <w:lang w:eastAsia="pt-PT"/>
        </w:rPr>
        <w:tab/>
        <w:t>O prazo para apresentação da reclamação do ato de homologação é de cinco dias úteis a contar da data do conhecimento da avaliação.</w:t>
      </w:r>
    </w:p>
    <w:p w:rsidR="00A63E5E" w:rsidRPr="00A63E5E" w:rsidRDefault="00A63E5E" w:rsidP="00A63E5E">
      <w:pPr>
        <w:spacing w:after="0" w:line="360" w:lineRule="auto"/>
        <w:ind w:left="1411" w:hanging="123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63E5E">
        <w:rPr>
          <w:rFonts w:ascii="Arial" w:eastAsia="+mn-ea" w:hAnsi="Arial" w:cs="Arial"/>
          <w:color w:val="424456"/>
          <w:kern w:val="24"/>
          <w:sz w:val="32"/>
          <w:szCs w:val="32"/>
          <w:lang w:eastAsia="pt-PT"/>
        </w:rPr>
        <w:tab/>
        <w:t>Do ato de homologação e da decisão sobre reclamação cabe impugnação administrativa, através de recurso hierárquico ou impugnação jurisdicional, nos termos gerais.</w:t>
      </w:r>
    </w:p>
    <w:p w:rsidR="00A63E5E" w:rsidRDefault="00A63E5E" w:rsidP="00A63E5E">
      <w:pPr>
        <w:pStyle w:val="NormalWeb"/>
        <w:spacing w:before="60" w:beforeAutospacing="0" w:after="0" w:afterAutospacing="0"/>
        <w:ind w:left="1440"/>
      </w:pPr>
    </w:p>
    <w:p w:rsidR="00A63E5E" w:rsidRDefault="00A63E5E"/>
    <w:p w:rsidR="00A63E5E" w:rsidRDefault="00A63E5E"/>
    <w:p w:rsidR="004D4BC8" w:rsidRDefault="004D4BC8"/>
    <w:sectPr w:rsidR="004D4BC8" w:rsidSect="00A63E5E">
      <w:pgSz w:w="16838" w:h="11906" w:orient="landscape"/>
      <w:pgMar w:top="1276" w:right="110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611D"/>
    <w:multiLevelType w:val="hybridMultilevel"/>
    <w:tmpl w:val="D592EC42"/>
    <w:lvl w:ilvl="0" w:tplc="379E27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A4289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0487AA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B8646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92A90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5AED8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06AD9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FCC36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DA56C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5E"/>
    <w:rsid w:val="004D4BC8"/>
    <w:rsid w:val="00A6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2DC1"/>
  <w15:chartTrackingRefBased/>
  <w15:docId w15:val="{3B35FEC0-DE4D-4214-9796-38E6B2CE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E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A63E5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6D4D1E53-B587-4BBC-A330-E1F044F94D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MA. Cassis</dc:creator>
  <cp:keywords/>
  <dc:description/>
  <cp:lastModifiedBy>Cristina MA. Cassis</cp:lastModifiedBy>
  <cp:revision>1</cp:revision>
  <dcterms:created xsi:type="dcterms:W3CDTF">2017-08-02T11:43:00Z</dcterms:created>
  <dcterms:modified xsi:type="dcterms:W3CDTF">2017-08-02T11:52:00Z</dcterms:modified>
</cp:coreProperties>
</file>