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51" w:rsidRDefault="00AA0A51" w:rsidP="00AA0A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Cs/>
          <w:noProof/>
          <w:sz w:val="20"/>
          <w:szCs w:val="20"/>
          <w:lang w:eastAsia="pt-PT"/>
        </w:rPr>
        <w:drawing>
          <wp:inline distT="0" distB="0" distL="0" distR="0" wp14:anchorId="017C8785" wp14:editId="2167A082">
            <wp:extent cx="1771650" cy="7062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E-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0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51" w:rsidRDefault="00AA0A51" w:rsidP="00AA0A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AA0A51" w:rsidRPr="00450001" w:rsidRDefault="00AA0A51" w:rsidP="00AA0A5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0"/>
          <w:szCs w:val="20"/>
        </w:rPr>
      </w:pPr>
      <w:r w:rsidRPr="00450001">
        <w:rPr>
          <w:rFonts w:ascii="Arial" w:eastAsia="Times New Roman" w:hAnsi="Arial" w:cs="Arial"/>
          <w:b/>
          <w:spacing w:val="-10"/>
          <w:kern w:val="28"/>
          <w:sz w:val="20"/>
          <w:szCs w:val="20"/>
        </w:rPr>
        <w:t>ANEXO IV</w:t>
      </w:r>
    </w:p>
    <w:p w:rsidR="00AA0A51" w:rsidRPr="00450001" w:rsidRDefault="00AA0A51" w:rsidP="00AA0A51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L</w:t>
      </w:r>
      <w:r w:rsidRPr="00450001">
        <w:rPr>
          <w:rFonts w:ascii="Arial" w:eastAsia="Calibri" w:hAnsi="Arial" w:cs="Arial"/>
          <w:b/>
          <w:sz w:val="20"/>
          <w:szCs w:val="20"/>
        </w:rPr>
        <w:t>ista de competências</w:t>
      </w:r>
    </w:p>
    <w:p w:rsidR="00AA0A51" w:rsidRPr="00450001" w:rsidRDefault="00AA0A51" w:rsidP="00AA0A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0"/>
        </w:rPr>
      </w:pPr>
    </w:p>
    <w:tbl>
      <w:tblPr>
        <w:tblW w:w="11340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0336"/>
      </w:tblGrid>
      <w:tr w:rsidR="00AA0A51" w:rsidRPr="00AA0A51" w:rsidTr="00CE0011">
        <w:trPr>
          <w:jc w:val="center"/>
        </w:trPr>
        <w:tc>
          <w:tcPr>
            <w:tcW w:w="978" w:type="dxa"/>
            <w:shd w:val="clear" w:color="auto" w:fill="9CC2E5" w:themeFill="accent1" w:themeFillTint="99"/>
            <w:vAlign w:val="center"/>
          </w:tcPr>
          <w:p w:rsidR="00AA0A51" w:rsidRPr="00AA0A51" w:rsidRDefault="00AA0A51" w:rsidP="00A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Área</w:t>
            </w:r>
            <w:r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10064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  <w:p w:rsidR="00AA0A51" w:rsidRPr="00AA0A51" w:rsidRDefault="00AA0A51" w:rsidP="00D61595">
            <w:pPr>
              <w:shd w:val="clear" w:color="auto" w:fill="9CC2E5" w:themeFill="accent1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Gestão da unidade orgânica orientada para a qualidade das aprendizagens e melhoria de resultados</w:t>
            </w:r>
          </w:p>
          <w:p w:rsidR="00AA0A51" w:rsidRPr="00AA0A51" w:rsidRDefault="00AA0A51" w:rsidP="00D61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AA0A51" w:rsidRPr="00AA0A51" w:rsidTr="00CE0011">
        <w:trPr>
          <w:jc w:val="center"/>
        </w:trPr>
        <w:tc>
          <w:tcPr>
            <w:tcW w:w="978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before="120"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10064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</w:tcPr>
          <w:p w:rsidR="00AA0A51" w:rsidRPr="00AA0A5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Descrição da Competência</w:t>
            </w:r>
          </w:p>
        </w:tc>
      </w:tr>
      <w:tr w:rsidR="00AA0A51" w:rsidRPr="00450001" w:rsidTr="00CE0011">
        <w:trPr>
          <w:jc w:val="center"/>
        </w:trPr>
        <w:tc>
          <w:tcPr>
            <w:tcW w:w="978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64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Gestão do Processo de Ensino/Aprendizagem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 - Capacidade de construir uma escola de qualidade que responde às necessidades, expectativas e motivação dos alunos, tendo sempre presente, como finalidade última, a formação de cidadãos ativos, competentes e autónomos, com capacidade de aprendizagem permanente nos domínios socio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emocional e cognitivo.</w:t>
            </w:r>
          </w:p>
          <w:p w:rsidR="00AA0A51" w:rsidRPr="0045000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ind w:left="284" w:hanging="26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Traça, envolvendo as estruturas pedagógicas da escola, um diagnóstico atualizado dos resultados produzidos pela escola ao nível das aprendizagens dos alunos, nas múltiplas vertentes que a compõem;</w:t>
            </w:r>
          </w:p>
          <w:p w:rsidR="00AA0A51" w:rsidRPr="00450001" w:rsidRDefault="00AA0A51" w:rsidP="00D615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Define, em função do diagnóstico realizado, metas e objetivos em torno de um projeto comum, determinando prioridades organizacionais;</w:t>
            </w:r>
          </w:p>
          <w:p w:rsidR="00AA0A51" w:rsidRPr="00450001" w:rsidRDefault="00AA0A51" w:rsidP="00D615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Monitoriza os progressos e os retrocessos dos alunos, as práticas da sala de aula e a qualidade do ensino; </w:t>
            </w:r>
          </w:p>
          <w:p w:rsidR="00AA0A51" w:rsidRPr="00450001" w:rsidRDefault="00AA0A51" w:rsidP="00D615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Monitoriza a gestão do currículo, incentivando as estruturas pedagógicas da escola a apropriar-se, de forma crítica, dos programas e a didatizá-los em linha com as características e necessidades dos grupos-turma;</w:t>
            </w:r>
          </w:p>
          <w:p w:rsidR="00AA0A51" w:rsidRPr="00450001" w:rsidRDefault="00AA0A51" w:rsidP="00D615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Acompanha as práticas escolares, recorrendo a dados, observando os processos de ensino-aprendizagem, identificando os pontos fortes e as necessidades de desenvolvimento profissional dos docentes;</w:t>
            </w:r>
          </w:p>
          <w:p w:rsidR="00AA0A51" w:rsidRPr="00450001" w:rsidRDefault="00AA0A51" w:rsidP="00D61595">
            <w:pPr>
              <w:numPr>
                <w:ilvl w:val="0"/>
                <w:numId w:val="14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Incentiva os professores a encarar os desafios a partir de diferentes perspetivas e a repensar formas de atuação, desafiando o </w:t>
            </w:r>
            <w:r w:rsidRPr="00450001">
              <w:rPr>
                <w:rFonts w:ascii="Arial" w:eastAsia="Calibri" w:hAnsi="Arial" w:cs="Arial"/>
                <w:i/>
                <w:sz w:val="20"/>
                <w:szCs w:val="20"/>
              </w:rPr>
              <w:t>status quo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 e a resignação.</w:t>
            </w:r>
          </w:p>
        </w:tc>
      </w:tr>
      <w:tr w:rsidR="00AA0A51" w:rsidRPr="00450001" w:rsidTr="00CE0011">
        <w:trPr>
          <w:jc w:val="center"/>
        </w:trPr>
        <w:tc>
          <w:tcPr>
            <w:tcW w:w="978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64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Cultura de Escola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 – Capacidade de dirigir a escola com base numa missão conhecida e partilhada por todos, centrada na melhoria contínua das aprendizagens dos alunos e no aumento gradual e sustentado das expectativas da comunidade escolar sobre o desempenho dos alunos.</w:t>
            </w:r>
          </w:p>
          <w:p w:rsidR="00AA0A51" w:rsidRPr="00450001" w:rsidRDefault="00AA0A51" w:rsidP="00D61595">
            <w:pPr>
              <w:spacing w:before="120" w:after="0" w:line="36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Cria, em alternativa a uma postura reativa, assente na procura de justificação para as limitações da ação da escola, uma cultura de proatividade, desenvolvendo projetos específicos que respondem às necessidades do seu público escolar;</w:t>
            </w:r>
          </w:p>
          <w:p w:rsidR="00AA0A51" w:rsidRDefault="00AA0A51" w:rsidP="00AA0A51">
            <w:pPr>
              <w:spacing w:before="120" w:after="0" w:line="360" w:lineRule="auto"/>
              <w:ind w:left="7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0A51" w:rsidRPr="00450001" w:rsidRDefault="00AA0A51" w:rsidP="00AA0A51">
            <w:pPr>
              <w:spacing w:before="120" w:after="0" w:line="360" w:lineRule="auto"/>
              <w:ind w:left="7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Concebe o Projeto Educativo de Escola (PEE) e o Plano de Promoção do Sucesso Escolar como a bússola da escola, que explicita a missão, os objetivos, as áreas de intervenção prioritária e as metas a atingir a curto, médio e longo prazo, assumindo-se ambos como um documento sucinto e operacionalizável, podendo ser facilmente lido por toda a comunidade educativa e adequado às especificidades e necessidades da escola;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as condições para um ambiente disciplinado e seguro;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um clima de escola caracterizado pela proximidade entre os alunos e os agentes educativos, pelo reconhecimento do trabalho e pela valorização da disciplina;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Estimula a realização de iniciativas que promovem a partilha dos valores da comunidade escolar, o diálogo entre os alunos e os agentes educativos;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Reconhece publicamente os bons exemplos e incentiva os demais a segui-los;</w:t>
            </w:r>
          </w:p>
          <w:p w:rsidR="00AA0A51" w:rsidRPr="00450001" w:rsidRDefault="00AA0A51" w:rsidP="00D61595">
            <w:pPr>
              <w:pStyle w:val="PargrafodaLista"/>
              <w:numPr>
                <w:ilvl w:val="0"/>
                <w:numId w:val="16"/>
              </w:num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Estimula a realização de momentos formais onde se consagra o mérito dos alunos, quer pelos resultados académicos alcançados, quer pela relevância de projetos que dinamizaram, nas áreas cívica, cultural e desportiva;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Torna visíveis, nos momentos-chave da vida da escola, os valores e objetivos que defende para a escola, mostrando, sempre que possível, à comunidade educativa aquilo em que acredita e o que o entusiasma, para motivar os demais.</w:t>
            </w:r>
          </w:p>
        </w:tc>
      </w:tr>
    </w:tbl>
    <w:p w:rsidR="00CE0011" w:rsidRPr="00450001" w:rsidRDefault="00CE0011" w:rsidP="00CE001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0"/>
        </w:rPr>
      </w:pPr>
    </w:p>
    <w:p w:rsidR="00AA0A51" w:rsidRPr="00450001" w:rsidRDefault="00AA0A51" w:rsidP="00AA0A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0"/>
        </w:rPr>
      </w:pPr>
    </w:p>
    <w:tbl>
      <w:tblPr>
        <w:tblW w:w="11340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0323"/>
      </w:tblGrid>
      <w:tr w:rsidR="00AA0A51" w:rsidRPr="00450001" w:rsidTr="00CE0011">
        <w:trPr>
          <w:jc w:val="center"/>
        </w:trPr>
        <w:tc>
          <w:tcPr>
            <w:tcW w:w="978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  <w:vAlign w:val="center"/>
          </w:tcPr>
          <w:p w:rsidR="00AA0A51" w:rsidRPr="00AA0A51" w:rsidRDefault="00AA0A51" w:rsidP="00AA0A5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Área</w:t>
            </w:r>
            <w:r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9922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  <w:vAlign w:val="center"/>
          </w:tcPr>
          <w:p w:rsidR="00AA0A51" w:rsidRPr="00AA0A51" w:rsidRDefault="00AA0A51" w:rsidP="00F276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Capacidade de liderança</w:t>
            </w:r>
          </w:p>
        </w:tc>
      </w:tr>
      <w:tr w:rsidR="00AA0A51" w:rsidRPr="00450001" w:rsidTr="00CE0011">
        <w:trPr>
          <w:jc w:val="center"/>
        </w:trPr>
        <w:tc>
          <w:tcPr>
            <w:tcW w:w="978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before="120"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9922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</w:tcPr>
          <w:p w:rsidR="00AA0A51" w:rsidRPr="00AA0A5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Descrição da Competência</w:t>
            </w:r>
          </w:p>
        </w:tc>
      </w:tr>
      <w:tr w:rsidR="00AA0A51" w:rsidRPr="00450001" w:rsidTr="00CE0011">
        <w:trPr>
          <w:jc w:val="center"/>
        </w:trPr>
        <w:tc>
          <w:tcPr>
            <w:tcW w:w="978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2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 xml:space="preserve">Liderança: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dirigir e influenciar positivamente os trabalhadores, mobilizando-os para os objetivos da unidade orgânica e estimulando a iniciativa e a responsabilização.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1 – Promove um estilo de liderança focado em valores humanos e éticos: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Revela uma conceção clara da escola enquanto sistema formador e multiplicador dos valores humanos e éticos;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redes de relacionamento propiciadoras do desenvolvimento da unidade orgânica como um todo integrado;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Fomenta um ambiente institucional aberto às mudanças e transformações sociais;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Fomenta um clima favorável à prevenção e resolução de conflitos.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Reconhece o mérito individual e coletivo promovendo um clima positivo e de autoconfiança.</w:t>
            </w:r>
          </w:p>
          <w:p w:rsidR="00AA0A51" w:rsidRDefault="00AA0A51" w:rsidP="00D61595">
            <w:pPr>
              <w:spacing w:before="120" w:after="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0A51" w:rsidRPr="00450001" w:rsidRDefault="00AA0A51" w:rsidP="00D61595">
            <w:pPr>
              <w:spacing w:before="120" w:after="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2 – Envolve a sua equipa na tomada de decisões e compartilha a responsabilidade nos resultados alcançados: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lastRenderedPageBreak/>
              <w:t>Dinamiza espaços organizacionais para a participação efetiva da sua equipa nas decisões escolares;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Fortalece o espírito de equipa para o desenvolvimento do trabalho integrado;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um fluxo de comunicação interna que garanta o conhecimento, por todos, das ações e decisões escolares;</w:t>
            </w:r>
          </w:p>
          <w:p w:rsidR="00AA0A51" w:rsidRPr="00450001" w:rsidRDefault="00AA0A51" w:rsidP="00D61595">
            <w:pPr>
              <w:numPr>
                <w:ilvl w:val="0"/>
                <w:numId w:val="5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Sabe ouvir a opinião dos outros compartilhando informações e decisões.</w:t>
            </w:r>
          </w:p>
        </w:tc>
      </w:tr>
      <w:tr w:rsidR="00AA0A51" w:rsidRPr="00450001" w:rsidTr="00CE0011">
        <w:trPr>
          <w:jc w:val="center"/>
        </w:trPr>
        <w:tc>
          <w:tcPr>
            <w:tcW w:w="978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2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 xml:space="preserve">Decisão: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equacionar soluções, dar orientações e tomar medidas, assumindo as responsabilidades decorrentes das mesmas.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Compromete-se com os resultados a alcançar de acordo com os objetivos estratégicos da unidade orgânica e é persistente perante obstáculos ou dificuldades;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Assume, em regra, objetivos ambiciosos e exigentes, embora realistas, para si e para os que com ele trabalha;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a participação da comunidade educativa nos processos de tomada de decisão;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Utiliza métodos e técnicas de planeamento e gestão educacional, organizacional, patrimonial, de recursos humanos e financeiros, designadamente na programação do ano escolar;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Analisa e pondera as alternativas de resolução dos problemas e as suas potenciais implicações para a unidade orgânica e escolhe de forma fundamentada as opções adequadas;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Toma medidas ou faz opções em tempo útil, tendo presente as prioridades da unidade orgânica e a urgência das situações;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É autoconfiante e determinado a decidir, mesmo quando se trata de opções difíceis;</w:t>
            </w:r>
          </w:p>
          <w:p w:rsidR="00AA0A51" w:rsidRPr="00450001" w:rsidRDefault="00AA0A51" w:rsidP="00D61595">
            <w:pPr>
              <w:numPr>
                <w:ilvl w:val="0"/>
                <w:numId w:val="13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b/>
                <w:smallCaps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Assume com sentido da responsabilidade os resultados das decisões que toma.</w:t>
            </w:r>
          </w:p>
        </w:tc>
      </w:tr>
      <w:tr w:rsidR="00AA0A51" w:rsidRPr="00450001" w:rsidTr="00CE0011">
        <w:trPr>
          <w:trHeight w:val="6156"/>
          <w:jc w:val="center"/>
        </w:trPr>
        <w:tc>
          <w:tcPr>
            <w:tcW w:w="978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2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Comunicação e negociação</w:t>
            </w:r>
            <w:r w:rsidRPr="00450001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se expressar com clareza e precisão, ser assertivo na exposição e defesa das suas ideias em grupo e estabelecer acordos com os colaboradores, tentando chegar a resultados positivos para todas as partes envolvidas.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Expressa-se oralmente com clareza, fluência e precisão;</w:t>
            </w:r>
          </w:p>
          <w:p w:rsidR="00AA0A51" w:rsidRPr="00450001" w:rsidRDefault="00AA0A51" w:rsidP="00D61595">
            <w:pPr>
              <w:numPr>
                <w:ilvl w:val="0"/>
                <w:numId w:val="1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Adapta com facilidade o discurso e a linguagem a diversos tipos de interlocutores;</w:t>
            </w:r>
          </w:p>
          <w:p w:rsidR="00AA0A51" w:rsidRPr="00450001" w:rsidRDefault="00AA0A51" w:rsidP="00D61595">
            <w:pPr>
              <w:numPr>
                <w:ilvl w:val="0"/>
                <w:numId w:val="1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É normalmente assertivo na exposição das suas ideias, captando naturalmente a atenção dos outros;</w:t>
            </w:r>
          </w:p>
          <w:p w:rsidR="00AA0A51" w:rsidRPr="00450001" w:rsidRDefault="00AA0A51" w:rsidP="00D61595">
            <w:pPr>
              <w:numPr>
                <w:ilvl w:val="0"/>
                <w:numId w:val="1"/>
              </w:numPr>
              <w:tabs>
                <w:tab w:val="left" w:pos="6415"/>
              </w:tabs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Demonstra respeito pelas opiniões alheias ouvindo-as com atenção e valoriza os seus contributos;</w:t>
            </w:r>
          </w:p>
          <w:p w:rsidR="00AA0A51" w:rsidRPr="00450001" w:rsidRDefault="00AA0A51" w:rsidP="00D61595">
            <w:pPr>
              <w:numPr>
                <w:ilvl w:val="0"/>
                <w:numId w:val="2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Utiliza uma forma de comunicação aberta e cria um clima propício à expressão dos outros, ouvindo-os com atenção;</w:t>
            </w:r>
          </w:p>
          <w:p w:rsidR="00AA0A51" w:rsidRPr="00450001" w:rsidRDefault="00AA0A51" w:rsidP="00D61595">
            <w:pPr>
              <w:numPr>
                <w:ilvl w:val="0"/>
                <w:numId w:val="2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Analisa a informação relevante, aprecia as diversas alternativas e procura pontos de concordância para chegar a decisões de ganho mútuo;</w:t>
            </w:r>
          </w:p>
          <w:p w:rsidR="00AA0A51" w:rsidRPr="00450001" w:rsidRDefault="00AA0A51" w:rsidP="00D61595">
            <w:pPr>
              <w:numPr>
                <w:ilvl w:val="0"/>
                <w:numId w:val="2"/>
              </w:numPr>
              <w:tabs>
                <w:tab w:val="left" w:pos="6415"/>
              </w:tabs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Estabelece consensos e acordos através da negociação.</w:t>
            </w:r>
          </w:p>
        </w:tc>
      </w:tr>
    </w:tbl>
    <w:p w:rsidR="00AA0A51" w:rsidRPr="00450001" w:rsidRDefault="00AA0A51" w:rsidP="00AA0A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tbl>
      <w:tblPr>
        <w:tblW w:w="11340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0323"/>
      </w:tblGrid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18"/>
                <w:szCs w:val="18"/>
              </w:rPr>
              <w:t>Área</w:t>
            </w: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10065" w:type="dxa"/>
            <w:shd w:val="clear" w:color="auto" w:fill="9CC2E5" w:themeFill="accent1" w:themeFillTint="99"/>
            <w:vAlign w:val="center"/>
          </w:tcPr>
          <w:p w:rsidR="00AA0A51" w:rsidRPr="00AA0A51" w:rsidRDefault="00AA0A51" w:rsidP="00AA0A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Relacionamento interpessoal e com a comunidade educativa</w:t>
            </w:r>
          </w:p>
        </w:tc>
      </w:tr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before="120"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10065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</w:tcPr>
          <w:p w:rsidR="00AA0A51" w:rsidRPr="00AA0A5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Descrição da Competência</w:t>
            </w:r>
          </w:p>
        </w:tc>
      </w:tr>
      <w:tr w:rsidR="00AA0A51" w:rsidRPr="00450001" w:rsidTr="00CE0011">
        <w:trPr>
          <w:trHeight w:val="1408"/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Relacionamento interpessoal:</w:t>
            </w:r>
            <w:r w:rsidRPr="0045000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interagir de forma adequada com pessoas com diferentes características e em contextos sociais e profissionais distintos, tendo uma atitude facilitadora do relacionamento.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2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Tem um trato cordial e afável com colaboradores, superiores e os diversos utentes;</w:t>
            </w:r>
          </w:p>
          <w:p w:rsidR="00AA0A51" w:rsidRPr="00450001" w:rsidRDefault="00AA0A51" w:rsidP="00D61595">
            <w:pPr>
              <w:numPr>
                <w:ilvl w:val="0"/>
                <w:numId w:val="12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um clima de relações humanas adequadas nas organizações escolares e gere os conflitos utilizando estratégias adequadas e mantendo um comportamento estável e uma postura profissional;</w:t>
            </w:r>
          </w:p>
          <w:p w:rsidR="00AA0A51" w:rsidRPr="00450001" w:rsidRDefault="00AA0A51" w:rsidP="00D61595">
            <w:pPr>
              <w:numPr>
                <w:ilvl w:val="0"/>
                <w:numId w:val="12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Trabalha facilmente com pessoas com diferentes características;</w:t>
            </w:r>
          </w:p>
          <w:p w:rsidR="00AA0A51" w:rsidRPr="00450001" w:rsidRDefault="00AA0A51" w:rsidP="00D61595">
            <w:pPr>
              <w:numPr>
                <w:ilvl w:val="0"/>
                <w:numId w:val="12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Denota autoconfiança nos relacionamentos e integra-se adequadamente em vários contextos socioprofissionais;</w:t>
            </w:r>
          </w:p>
          <w:p w:rsidR="00AA0A51" w:rsidRPr="00450001" w:rsidRDefault="00AA0A51" w:rsidP="00D61595">
            <w:pPr>
              <w:numPr>
                <w:ilvl w:val="0"/>
                <w:numId w:val="3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Partilha informações e conhecimentos e disponibiliza-se para apoiar os membros das equipas;</w:t>
            </w:r>
          </w:p>
          <w:p w:rsidR="00AA0A51" w:rsidRPr="00450001" w:rsidRDefault="00AA0A51" w:rsidP="00D61595">
            <w:pPr>
              <w:numPr>
                <w:ilvl w:val="0"/>
                <w:numId w:val="3"/>
              </w:numPr>
              <w:spacing w:before="120" w:after="0" w:line="360" w:lineRule="auto"/>
              <w:ind w:left="731" w:hanging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Contribui para o desenvolvimento ou manutenção de um bom ambiente de trabalho e fortalecimento do espírito de grupo.</w:t>
            </w:r>
          </w:p>
        </w:tc>
      </w:tr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Default="00AA0A51" w:rsidP="00AA0A51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 xml:space="preserve">Relacionamento com a comunidade educativa: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gerir relações interpessoais, intergrupos, nos ambientes interno e externo da escola:</w:t>
            </w:r>
          </w:p>
          <w:p w:rsidR="00AA0A51" w:rsidRDefault="00AA0A51" w:rsidP="00AA0A51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AA0A51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1 – Representa a escola:</w:t>
            </w:r>
          </w:p>
          <w:p w:rsidR="00AA0A51" w:rsidRPr="00450001" w:rsidRDefault="00AA0A51" w:rsidP="00D61595">
            <w:pPr>
              <w:numPr>
                <w:ilvl w:val="0"/>
                <w:numId w:val="10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Representa a escola em atos públicos na afirmação da sua identidade e valorização do papel da mesma na comunidade;</w:t>
            </w:r>
          </w:p>
          <w:p w:rsidR="00AA0A51" w:rsidRPr="00450001" w:rsidRDefault="00AA0A51" w:rsidP="00D61595">
            <w:pPr>
              <w:numPr>
                <w:ilvl w:val="0"/>
                <w:numId w:val="10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Aceita a responsabilidade de direção ou de participação em projetos que implicam exposição e visibilidade externa;</w:t>
            </w:r>
          </w:p>
          <w:p w:rsidR="00AA0A51" w:rsidRPr="00450001" w:rsidRDefault="00AA0A51" w:rsidP="00D61595">
            <w:pPr>
              <w:numPr>
                <w:ilvl w:val="0"/>
                <w:numId w:val="10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Comunica com à vontade e confiança perante audiências alargadas.</w:t>
            </w:r>
          </w:p>
          <w:p w:rsidR="00AA0A51" w:rsidRPr="00450001" w:rsidRDefault="00AA0A51" w:rsidP="00D61595">
            <w:pPr>
              <w:spacing w:before="120" w:after="0" w:line="360" w:lineRule="auto"/>
              <w:ind w:left="22" w:hanging="2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2 – Fomenta laços de relacionamento entre a escola e a comunidade:</w:t>
            </w:r>
          </w:p>
          <w:p w:rsidR="00AA0A51" w:rsidRPr="00450001" w:rsidRDefault="00AA0A51" w:rsidP="00D61595">
            <w:pPr>
              <w:numPr>
                <w:ilvl w:val="0"/>
                <w:numId w:val="10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Conhece a realidade da comunidade e põe à sua disposição as instalações e os serviços, no cumprimento da sua função social;</w:t>
            </w:r>
          </w:p>
          <w:p w:rsidR="00AA0A51" w:rsidRPr="00450001" w:rsidRDefault="00AA0A51" w:rsidP="00D61595">
            <w:pPr>
              <w:numPr>
                <w:ilvl w:val="0"/>
                <w:numId w:val="10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Empenha-se na procura de recursos e serviços existentes no meio e estabelece parcerias para facilitar o acesso dos alunos aos mesmos.</w:t>
            </w:r>
          </w:p>
          <w:p w:rsidR="00AA0A51" w:rsidRPr="00450001" w:rsidRDefault="00AA0A51" w:rsidP="00D61595">
            <w:pPr>
              <w:spacing w:before="120" w:after="0" w:line="360" w:lineRule="auto"/>
              <w:ind w:left="22" w:hanging="2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3 – Promove a escola no exterior:</w:t>
            </w:r>
          </w:p>
          <w:p w:rsidR="00AA0A51" w:rsidRPr="00450001" w:rsidRDefault="00AA0A51" w:rsidP="00D61595">
            <w:pPr>
              <w:numPr>
                <w:ilvl w:val="0"/>
                <w:numId w:val="11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Divulga e dá a conhecer à comunidade o Projeto Educativo da escola, os resultados das aprendizagens, tendo em vista a valorização da escola;</w:t>
            </w:r>
          </w:p>
          <w:p w:rsidR="00AA0A51" w:rsidRPr="00450001" w:rsidRDefault="00AA0A51" w:rsidP="00D61595">
            <w:pPr>
              <w:numPr>
                <w:ilvl w:val="0"/>
                <w:numId w:val="11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Divulga a oferta educativa à comunidade tendo em vista a valorização do papel da escola;</w:t>
            </w:r>
          </w:p>
          <w:p w:rsidR="00AA0A51" w:rsidRPr="00450001" w:rsidRDefault="00AA0A51" w:rsidP="00D61595">
            <w:pPr>
              <w:numPr>
                <w:ilvl w:val="0"/>
                <w:numId w:val="11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o intercâmbio entre escolas;</w:t>
            </w:r>
          </w:p>
          <w:p w:rsidR="00AA0A51" w:rsidRPr="00450001" w:rsidRDefault="00AA0A51" w:rsidP="00D61595">
            <w:pPr>
              <w:numPr>
                <w:ilvl w:val="0"/>
                <w:numId w:val="11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Divulga a informação relativa a acontecimentos promovidos pela escola junto da comunidade.</w:t>
            </w:r>
          </w:p>
        </w:tc>
      </w:tr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Relação com as Famílias e os Alunos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 – Capacidade de envolver, de forma ativa e construtiva, os encarregados de educação e a restante comunidade educativa como parceiros na melhoria dos resultados dos alunos.</w:t>
            </w:r>
          </w:p>
          <w:p w:rsidR="00AA0A51" w:rsidRPr="00450001" w:rsidRDefault="00AA0A51" w:rsidP="00D61595">
            <w:pPr>
              <w:spacing w:before="120" w:after="0" w:line="36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7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Gere e divulga, de forma eficaz, junto das famílias, a informação, através de suportes adequados às características e perfil daquelas;</w:t>
            </w:r>
          </w:p>
          <w:p w:rsidR="00AA0A51" w:rsidRPr="00450001" w:rsidRDefault="00AA0A51" w:rsidP="00D61595">
            <w:pPr>
              <w:numPr>
                <w:ilvl w:val="0"/>
                <w:numId w:val="17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Envolve os alunos na assunção de papéis relevantes na manutenção do património escolar, na implementação de projetos, nas relações da família com a escola e dessa com a comunidade;</w:t>
            </w:r>
          </w:p>
          <w:p w:rsidR="00AA0A51" w:rsidRPr="00450001" w:rsidRDefault="00AA0A51" w:rsidP="00D61595">
            <w:pPr>
              <w:numPr>
                <w:ilvl w:val="0"/>
                <w:numId w:val="17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Incentiva os alunos a envolverem-se em projetos e atividades extracurriculares da escola, como forma de descobrirem ou desenvolverem as suas potencialidades nos domínios artístico, cívico, desportivo, entre outros;</w:t>
            </w:r>
          </w:p>
          <w:p w:rsidR="00AA0A51" w:rsidRPr="00450001" w:rsidRDefault="00AA0A51" w:rsidP="00D61595">
            <w:pPr>
              <w:numPr>
                <w:ilvl w:val="0"/>
                <w:numId w:val="17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Motiva a criação de relações positivas com os encarregados de educação, incrementando as oportunidades existentes para mostrar a estes, aos pais e às famílias os progressos das suas crianças e jovens, o que estes são capazes de fazer;</w:t>
            </w:r>
          </w:p>
          <w:p w:rsidR="00AA0A51" w:rsidRPr="00450001" w:rsidRDefault="00AA0A51" w:rsidP="00D61595">
            <w:pPr>
              <w:numPr>
                <w:ilvl w:val="0"/>
                <w:numId w:val="17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Dinamiza momentos de comunicação e de diálogo efetivo entre a escola e as famílias, esbatendo barreiras e construindo um espaço propício à resolução concertada de problemas que afetam o desenvolvimento pessoal e a aprendizagem dos alunos;</w:t>
            </w:r>
          </w:p>
          <w:p w:rsidR="00AA0A51" w:rsidRPr="00450001" w:rsidRDefault="00AA0A51" w:rsidP="00D61595">
            <w:pPr>
              <w:numPr>
                <w:ilvl w:val="0"/>
                <w:numId w:val="17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e apoia iniciativas que mostram aos pais e alunos a importância da escola e da qualificação.</w:t>
            </w:r>
          </w:p>
        </w:tc>
      </w:tr>
    </w:tbl>
    <w:p w:rsidR="00AA0A51" w:rsidRPr="00450001" w:rsidRDefault="00AA0A51" w:rsidP="00CE00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p w:rsidR="00AA0A51" w:rsidRPr="00450001" w:rsidRDefault="00AA0A51" w:rsidP="00AA0A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0"/>
        </w:rPr>
      </w:pPr>
    </w:p>
    <w:tbl>
      <w:tblPr>
        <w:tblW w:w="11340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0323"/>
      </w:tblGrid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18"/>
                <w:szCs w:val="18"/>
              </w:rPr>
              <w:t xml:space="preserve">Área </w:t>
            </w:r>
            <w:r w:rsidRPr="00AA0A5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10065" w:type="dxa"/>
            <w:shd w:val="clear" w:color="auto" w:fill="9CC2E5" w:themeFill="accent1" w:themeFillTint="99"/>
          </w:tcPr>
          <w:p w:rsidR="00AA0A51" w:rsidRPr="00AA0A51" w:rsidRDefault="00AA0A51" w:rsidP="00D61595">
            <w:pPr>
              <w:spacing w:before="120" w:after="0" w:line="240" w:lineRule="auto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Organização e funcionamento pedagógicos, designadamente, nas áreas de gestão curricular, de projetos, de atividades educativas e de avaliação, orientação e apoio a alunos</w:t>
            </w:r>
          </w:p>
        </w:tc>
      </w:tr>
      <w:tr w:rsidR="00AA0A51" w:rsidRPr="001E78F0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10065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</w:tcPr>
          <w:p w:rsidR="00AA0A51" w:rsidRPr="00AA0A51" w:rsidRDefault="00AA0A51" w:rsidP="00D61595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Descrição da Competência</w:t>
            </w:r>
          </w:p>
        </w:tc>
      </w:tr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Visão Estratégica</w:t>
            </w:r>
            <w:r w:rsidRPr="00450001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Capacidade para analisar o ambiente interno e externo, antecipar a sua evolução e prever os impactos na unidade orgânica. Ter uma perspetiva de gestão alargada e direcionada para o futuro de modo a definir as estratégias e os objetivos de acordo com essa visão.  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1 – Promove a construção conjunta do Projeto Educativo analisando cenários e definindo estratégias para a superação dos desafios: </w:t>
            </w:r>
          </w:p>
          <w:p w:rsidR="00AA0A51" w:rsidRPr="00450001" w:rsidRDefault="00AA0A51" w:rsidP="00D61595">
            <w:pPr>
              <w:numPr>
                <w:ilvl w:val="0"/>
                <w:numId w:val="7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Realiza o diagnóstico da unidade orgânica com todos os intervenientes com a intenção de identificar e analisar as potencialidades e os constrangimentos;</w:t>
            </w:r>
          </w:p>
          <w:p w:rsidR="00AA0A51" w:rsidRPr="00450001" w:rsidRDefault="00AA0A51" w:rsidP="00D61595">
            <w:pPr>
              <w:numPr>
                <w:ilvl w:val="0"/>
                <w:numId w:val="7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Define conjuntamente com as equipas de trabalho a missão e a visão assim como as metas a serem alcançadas no decurso do mandato;</w:t>
            </w:r>
          </w:p>
          <w:p w:rsidR="00AA0A51" w:rsidRPr="00450001" w:rsidRDefault="00AA0A51" w:rsidP="00D61595">
            <w:pPr>
              <w:numPr>
                <w:ilvl w:val="0"/>
                <w:numId w:val="7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Assegura a coerência entre as prioridades traçadas para a unidade orgânica e as da comunidade envolvente;</w:t>
            </w:r>
          </w:p>
          <w:p w:rsidR="00AA0A51" w:rsidRPr="00450001" w:rsidRDefault="00AA0A51" w:rsidP="00D61595">
            <w:pPr>
              <w:numPr>
                <w:ilvl w:val="0"/>
                <w:numId w:val="7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Acompanha e avalia o Projeto Educativo, analisando os resultados alcançados na unidade orgânica e desenvolvendo estratégias para superar os desafios que se apresentam.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2 – Fomenta o sentido de pertença e identificação com a unidade orgânica de forma a dar resposta aos desafios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lastRenderedPageBreak/>
              <w:t>e prioridades da mesma:</w:t>
            </w:r>
          </w:p>
          <w:p w:rsidR="00AA0A51" w:rsidRPr="00450001" w:rsidRDefault="00AA0A51" w:rsidP="00D61595">
            <w:pPr>
              <w:numPr>
                <w:ilvl w:val="0"/>
                <w:numId w:val="8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Assegura a articulação do Projeto Educativo com o Plano Anual;</w:t>
            </w:r>
          </w:p>
          <w:p w:rsidR="00AA0A51" w:rsidRPr="00450001" w:rsidRDefault="00AA0A51" w:rsidP="00D61595">
            <w:pPr>
              <w:numPr>
                <w:ilvl w:val="0"/>
                <w:numId w:val="8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Participa na formulação de outros projetos;</w:t>
            </w:r>
          </w:p>
          <w:p w:rsidR="00AA0A51" w:rsidRPr="00450001" w:rsidRDefault="00AA0A51" w:rsidP="00D61595">
            <w:pPr>
              <w:numPr>
                <w:ilvl w:val="0"/>
                <w:numId w:val="8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Fomenta e cria condições tendentes à realização de parcerias e identifica fontes de apoio;</w:t>
            </w:r>
          </w:p>
          <w:p w:rsidR="00AA0A51" w:rsidRPr="00450001" w:rsidRDefault="00AA0A51" w:rsidP="00D61595">
            <w:pPr>
              <w:numPr>
                <w:ilvl w:val="0"/>
                <w:numId w:val="8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e monitoriza estruturas de apoio à aprendizagem dos alunos;</w:t>
            </w:r>
          </w:p>
          <w:p w:rsidR="00AA0A51" w:rsidRPr="00450001" w:rsidRDefault="00AA0A51" w:rsidP="00D61595">
            <w:pPr>
              <w:numPr>
                <w:ilvl w:val="0"/>
                <w:numId w:val="8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Incentiva a criação de clubes escolares e outras atividades extracurriculares adequadas às expectativas e interesses dos alunos.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3 – Prepara a unidade orgânica para os desafios do futuro:</w:t>
            </w:r>
          </w:p>
          <w:p w:rsidR="00AA0A51" w:rsidRPr="00450001" w:rsidRDefault="00AA0A51" w:rsidP="00D61595">
            <w:pPr>
              <w:numPr>
                <w:ilvl w:val="0"/>
                <w:numId w:val="9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Propicia a criação de um sentido prospetivo;</w:t>
            </w:r>
          </w:p>
          <w:p w:rsidR="00AA0A51" w:rsidRPr="00450001" w:rsidRDefault="00AA0A51" w:rsidP="00D61595">
            <w:pPr>
              <w:numPr>
                <w:ilvl w:val="0"/>
                <w:numId w:val="9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Estabelece redes de trabalho assentes na colaboração dos intervenientes;</w:t>
            </w:r>
          </w:p>
          <w:p w:rsidR="00AA0A51" w:rsidRPr="00450001" w:rsidRDefault="00AA0A51" w:rsidP="00D61595">
            <w:pPr>
              <w:numPr>
                <w:ilvl w:val="0"/>
                <w:numId w:val="9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Apresenta ofertas educativas tendo em conta o ambiente contingencial da unidade orgânica.</w:t>
            </w:r>
          </w:p>
          <w:p w:rsidR="00AA0A51" w:rsidRPr="00450001" w:rsidRDefault="00AA0A51" w:rsidP="00D61595">
            <w:pPr>
              <w:spacing w:after="160" w:line="259" w:lineRule="auto"/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Incremento de uma Cultura Colaborativa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 – Capacidade para integrar e para constituir equipas de trabalho de constituição variada e gerar sinergias através de participação ativa dos membros da comunidade educativa.</w:t>
            </w:r>
          </w:p>
          <w:p w:rsidR="00AA0A51" w:rsidRPr="00450001" w:rsidRDefault="00AA0A51" w:rsidP="00D61595">
            <w:pPr>
              <w:spacing w:before="120" w:after="0" w:line="360" w:lineRule="auto"/>
              <w:ind w:left="30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Integra-se bem em equipas de constituição variada, cooperando, de forma ativa e construtiva, com o seu saber e a sua experiência no desenvolvimento dos trabalhos, em linha </w:t>
            </w:r>
            <w:r w:rsidR="00F27685">
              <w:rPr>
                <w:rFonts w:ascii="Arial" w:eastAsia="Calibri" w:hAnsi="Arial" w:cs="Arial"/>
                <w:sz w:val="20"/>
                <w:szCs w:val="20"/>
              </w:rPr>
              <w:t>com os objetivos ou metas fixada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s;</w:t>
            </w:r>
          </w:p>
          <w:p w:rsidR="00AA0A51" w:rsidRPr="00450001" w:rsidRDefault="00AA0A51" w:rsidP="00D61595">
            <w:pPr>
              <w:pStyle w:val="PargrafodaLista"/>
              <w:numPr>
                <w:ilvl w:val="0"/>
                <w:numId w:val="16"/>
              </w:numPr>
              <w:spacing w:before="120" w:after="0" w:line="360" w:lineRule="auto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a criação e manutenção de comunidades de aprendizagem profissional no interior da organização escolar, com vista ao desenvolvimento científico e pedagógico dos docentes;</w:t>
            </w:r>
          </w:p>
          <w:p w:rsidR="00AA0A51" w:rsidRPr="00450001" w:rsidRDefault="00AA0A51" w:rsidP="00D61595">
            <w:pPr>
              <w:pStyle w:val="PargrafodaLista"/>
              <w:numPr>
                <w:ilvl w:val="0"/>
                <w:numId w:val="16"/>
              </w:numPr>
              <w:spacing w:before="120" w:after="0" w:line="360" w:lineRule="auto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a reflexão partilhada sobre as práticas educativas e sobre os processos adotados pela escola para responder aos problemas identificados;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Estabelece uma rede de trabalho e de comunicação com as escolas da área concelhia, articulando opções e procedimentos que respondam, de forma concertada, aos problemas comuns;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Incentiva o trabalho em equipa e gera um ambiente propício à partilha e à concertação de estratégias;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Constitui equipas de trabalho coesas, capitalizando a experiência, o saber e a motivação dos agentes que as integram;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Clarifica metas e papéis de colaboração e encoraja o compromisso entre os colaboradores; 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Identifica, nos seus professores, assistentes e demais técnicos, as apetências e as mais-valias de cada um, para as pôr ao serviço de um determinado projeto, inclusive para lhes atribuir funções de liderança intermédia, de coordenação de grupos ou de mediação de conflitos;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Capitaliza a diversidade de opiniões, crenças e perspetivas, para, em alternativa ao conflito, gerar consensos, melhorar as ideias apresentadas e alinhar expectativas diferentes;</w:t>
            </w:r>
          </w:p>
          <w:p w:rsidR="00AA0A51" w:rsidRPr="00AA0A51" w:rsidRDefault="00AA0A51" w:rsidP="00AA0A51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Acompanha o desenvolvimento dos trabalhos das equipas constituídas, dirimindo os conflitos, ainda que latentes, e motivando, de forma contínua, os intervenientes;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Motiva os seus colaboradores, nos momentos de desânimo e de fracasso, cultivando, neles, a autoestima e a determinação em alternativa à resignação;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Partilha informação e conhecimento com os colaboradores e disponibiliza-se para os apoiar quando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lastRenderedPageBreak/>
              <w:t>solicitado;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Contribui para o desenvolvimento ou manutenção de um bom ambiente de trabalho e fortalecimento do espírito de grupo;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Desenvolve a prática de assumir responsabilidades em conjunto;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Reforça e dá visibilidade aos comportamentos positivos, motivando os outros a superar-se e a experimentar estratégias demonstradas;</w:t>
            </w:r>
          </w:p>
          <w:p w:rsidR="00AA0A51" w:rsidRPr="00450001" w:rsidRDefault="00AA0A51" w:rsidP="00D61595">
            <w:pPr>
              <w:numPr>
                <w:ilvl w:val="0"/>
                <w:numId w:val="16"/>
              </w:numPr>
              <w:spacing w:before="120" w:after="0" w:line="360" w:lineRule="auto"/>
              <w:ind w:left="731" w:hanging="425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Cria, nomeadamente em matéria de horários, as condições organizacionais propícias ao trabalho em grupo.</w:t>
            </w:r>
          </w:p>
        </w:tc>
      </w:tr>
      <w:tr w:rsidR="00AA0A51" w:rsidRPr="00450001" w:rsidTr="00CE0011">
        <w:tblPrEx>
          <w:shd w:val="clear" w:color="auto" w:fill="D9D9D9" w:themeFill="background1" w:themeFillShade="D9"/>
        </w:tblPrEx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Cultura de Avaliação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 – Capacidade de capitalizar a avaliação de todos os que trabalham na escola em prol de dinâmicas de autorregulação do desempenho, no sentido de fomentar a melhoria gradual dos seus agentes e o seu contributo para a missão da escola e a consecução das metas definidas.</w:t>
            </w:r>
          </w:p>
          <w:p w:rsidR="00AA0A51" w:rsidRPr="0045000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uma dinâmica contínua de autoavaliação formativa, assente no reconhecimento das mais-valias de cada um e dos aspetos a melhorar;</w:t>
            </w:r>
          </w:p>
          <w:p w:rsidR="00AA0A51" w:rsidRPr="00450001" w:rsidRDefault="00AA0A51" w:rsidP="00D615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oportunidades para os seus agentes educativos melhorarem o seu desempenho nas áreas onde os mesmos desejam aperfeiçoar-se;</w:t>
            </w:r>
          </w:p>
          <w:p w:rsidR="00AA0A51" w:rsidRPr="00450001" w:rsidRDefault="00AA0A51" w:rsidP="00D615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ind w:left="731" w:hanging="4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Reconhece o papel de cada agente na comunidade escolar e, quando oportuno, desafia-o a trilhar novas experiências de aprendizagem;</w:t>
            </w:r>
          </w:p>
          <w:p w:rsidR="00AA0A51" w:rsidRPr="00450001" w:rsidRDefault="00AA0A51" w:rsidP="00D615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Assume responsabilidades e objetivos exigentes, mostrando a importância de fazer sempre melhor, em prol da melhoria das aprendizagens dos alunos e de um clima de trabalho e de segurança na escola;</w:t>
            </w:r>
          </w:p>
          <w:p w:rsidR="00AA0A51" w:rsidRPr="00450001" w:rsidRDefault="00AA0A51" w:rsidP="00D615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Toma facilmente decisões e responde por elas, incentivando os outros a defender opções e a assumir responsabilidades;</w:t>
            </w:r>
          </w:p>
          <w:p w:rsidR="00AA0A51" w:rsidRPr="00450001" w:rsidRDefault="00AA0A51" w:rsidP="00D615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Gera momentos de partilha e de discussão sobre a eficácia das estratégias utilizadas e dos processos de ensino e aprendizagem.</w:t>
            </w:r>
          </w:p>
        </w:tc>
      </w:tr>
    </w:tbl>
    <w:p w:rsidR="00CE0011" w:rsidRPr="00450001" w:rsidRDefault="00CE0011" w:rsidP="00AA0A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0"/>
        </w:rPr>
      </w:pPr>
    </w:p>
    <w:p w:rsidR="00AA0A51" w:rsidRPr="00450001" w:rsidRDefault="00AA0A51" w:rsidP="00AA0A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0"/>
        </w:rPr>
      </w:pPr>
    </w:p>
    <w:tbl>
      <w:tblPr>
        <w:tblW w:w="11340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0323"/>
      </w:tblGrid>
      <w:tr w:rsidR="00AA0A51" w:rsidRPr="00450001" w:rsidTr="00CE0011">
        <w:trPr>
          <w:trHeight w:val="411"/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742710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Área</w:t>
            </w:r>
            <w:r w:rsidR="00742710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e)</w:t>
            </w:r>
          </w:p>
        </w:tc>
        <w:tc>
          <w:tcPr>
            <w:tcW w:w="10065" w:type="dxa"/>
            <w:shd w:val="clear" w:color="auto" w:fill="9CC2E5" w:themeFill="accent1" w:themeFillTint="99"/>
          </w:tcPr>
          <w:p w:rsidR="00AA0A51" w:rsidRPr="00AA0A51" w:rsidRDefault="00AA0A51" w:rsidP="00D61595">
            <w:pPr>
              <w:spacing w:before="120" w:after="120" w:line="240" w:lineRule="auto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Coordenação da formação e gestão dos recursos humanos</w:t>
            </w:r>
          </w:p>
        </w:tc>
      </w:tr>
      <w:tr w:rsidR="00AA0A51" w:rsidRPr="00450001" w:rsidTr="00CE0011">
        <w:trPr>
          <w:trHeight w:val="411"/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10065" w:type="dxa"/>
            <w:shd w:val="clear" w:color="auto" w:fill="9CC2E5" w:themeFill="accent1" w:themeFillTint="99"/>
          </w:tcPr>
          <w:p w:rsidR="00AA0A51" w:rsidRPr="00AA0A51" w:rsidRDefault="00AA0A51" w:rsidP="00D61595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Descrição da Competência</w:t>
            </w:r>
          </w:p>
        </w:tc>
      </w:tr>
      <w:tr w:rsidR="00AA0A51" w:rsidRPr="00450001" w:rsidTr="00CE0011">
        <w:trPr>
          <w:trHeight w:val="411"/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 xml:space="preserve">Gestão de Recursos Humanos e formação: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administrar e coordenar os recursos humanos existentes na unidade orgânica, promovendo uma gestão racional, eficaz, transparente e adequada às necessidades da unidade orgânica.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Adequa de forma equitativa a gestão do pessoal aos recursos disponíveis, através de uma planificação estratégica, articulando conteúdos funcionais, atividades e responsabilidades;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Rentabiliza de forma eficiente os recursos disponíveis na unidade orgânica;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lastRenderedPageBreak/>
              <w:t>Distribui as responsabilidades, os projetos e tarefas pelos trabalhadores de acordo com as suas competências e motivação, otimizando o potencial individual;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Promove planos de formação tendo em consideração as competências das pessoas, as necessidades de formação pessoais e organizacionais e o respetivo desenvolvimento profissional numa perspetiva de futuro; 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Coordena ações e programa de investigação que permitam quer a compreensão dos fenómenos e processos educativos, quer a concretização de transformações organizativas;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Supervisiona a execução dos programas, processos organizativos e o desempenho pessoal.</w:t>
            </w:r>
          </w:p>
        </w:tc>
      </w:tr>
      <w:tr w:rsidR="00AA0A51" w:rsidRPr="00450001" w:rsidTr="00CE0011">
        <w:trPr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>Autoformação e Melhoria Contínua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 xml:space="preserve"> – Capacidade de identificar as competências, os conhecimentos e a experiência essenciais ao bom desempenho das suas funções.</w:t>
            </w:r>
          </w:p>
          <w:p w:rsidR="00AA0A51" w:rsidRPr="00450001" w:rsidRDefault="00AA0A51" w:rsidP="00D61595">
            <w:pPr>
              <w:autoSpaceDE w:val="0"/>
              <w:autoSpaceDN w:val="0"/>
              <w:adjustRightInd w:val="0"/>
              <w:spacing w:before="120" w:after="0" w:line="360" w:lineRule="auto"/>
              <w:ind w:left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18"/>
              </w:numPr>
              <w:spacing w:before="120" w:after="0" w:line="360" w:lineRule="auto"/>
              <w:ind w:left="731" w:hanging="40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Procura oportunidade de formação, em momentos formais ou informais, para alargar os seus conhecimentos e experiência, de forma a responder, de forma mais eficaz, aos problemas que afetam a sua escola;</w:t>
            </w:r>
          </w:p>
          <w:p w:rsidR="00AA0A51" w:rsidRPr="00450001" w:rsidRDefault="00AA0A51" w:rsidP="00D61595">
            <w:pPr>
              <w:numPr>
                <w:ilvl w:val="0"/>
                <w:numId w:val="18"/>
              </w:numPr>
              <w:spacing w:before="120" w:after="0" w:line="360" w:lineRule="auto"/>
              <w:ind w:left="731" w:hanging="40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Estabelece contactos estruturados com outras escolas que dinamizam projetos com resultados positivos;</w:t>
            </w:r>
          </w:p>
          <w:p w:rsidR="00AA0A51" w:rsidRPr="00450001" w:rsidRDefault="00AA0A51" w:rsidP="00D61595">
            <w:pPr>
              <w:numPr>
                <w:ilvl w:val="0"/>
                <w:numId w:val="18"/>
              </w:numPr>
              <w:spacing w:before="120" w:after="0" w:line="360" w:lineRule="auto"/>
              <w:ind w:left="731" w:hanging="40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Estabelece momentos de contacto com profissionais e instituições variadas, transformando-os em oportunidade para se atualizar e refletir sobre a sua ação;</w:t>
            </w:r>
          </w:p>
          <w:p w:rsidR="00AA0A51" w:rsidRPr="00450001" w:rsidRDefault="00AA0A51" w:rsidP="00D61595">
            <w:pPr>
              <w:numPr>
                <w:ilvl w:val="0"/>
                <w:numId w:val="18"/>
              </w:numPr>
              <w:spacing w:before="120" w:after="0" w:line="360" w:lineRule="auto"/>
              <w:ind w:left="731" w:hanging="40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Adere às tecnologias de informação e comunicação com valor significativo para a melhoria do funcionamento da escola e para o seu desempenho individual;</w:t>
            </w:r>
          </w:p>
          <w:p w:rsidR="00AA0A51" w:rsidRPr="00450001" w:rsidRDefault="00AA0A51" w:rsidP="00D61595">
            <w:pPr>
              <w:numPr>
                <w:ilvl w:val="0"/>
                <w:numId w:val="18"/>
              </w:numPr>
              <w:spacing w:before="120" w:after="0" w:line="360" w:lineRule="auto"/>
              <w:ind w:left="731" w:hanging="40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Desenha planos de ação e projetos estruturados, orientados para a resposta a um problema ou desafio premente na escola.</w:t>
            </w:r>
          </w:p>
        </w:tc>
      </w:tr>
    </w:tbl>
    <w:p w:rsidR="00AA0A51" w:rsidRPr="00450001" w:rsidRDefault="00AA0A51" w:rsidP="00AA0A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0"/>
        </w:rPr>
      </w:pPr>
    </w:p>
    <w:p w:rsidR="00742710" w:rsidRPr="00450001" w:rsidRDefault="00742710" w:rsidP="00CE00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tbl>
      <w:tblPr>
        <w:tblW w:w="11340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0323"/>
      </w:tblGrid>
      <w:tr w:rsidR="00AA0A51" w:rsidRPr="00450001" w:rsidTr="00CE0011">
        <w:trPr>
          <w:trHeight w:val="411"/>
          <w:jc w:val="center"/>
        </w:trPr>
        <w:tc>
          <w:tcPr>
            <w:tcW w:w="992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  <w:vAlign w:val="center"/>
          </w:tcPr>
          <w:p w:rsidR="00AA0A51" w:rsidRPr="00AA0A51" w:rsidRDefault="00AA0A51" w:rsidP="00742710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Área</w:t>
            </w:r>
            <w:r w:rsidR="00742710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f)</w:t>
            </w:r>
          </w:p>
        </w:tc>
        <w:tc>
          <w:tcPr>
            <w:tcW w:w="10065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</w:tcPr>
          <w:p w:rsidR="00AA0A51" w:rsidRPr="00AA0A51" w:rsidRDefault="00AA0A51" w:rsidP="00D61595">
            <w:pPr>
              <w:spacing w:before="120" w:after="0" w:line="240" w:lineRule="auto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Gestão dos recursos financeiros, das instalações e dos equipamentos escolares</w:t>
            </w:r>
          </w:p>
        </w:tc>
      </w:tr>
      <w:tr w:rsidR="00AA0A51" w:rsidRPr="009D734D" w:rsidTr="00CE0011">
        <w:trPr>
          <w:trHeight w:val="411"/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10065" w:type="dxa"/>
            <w:tcBorders>
              <w:bottom w:val="double" w:sz="4" w:space="0" w:color="FFFFFF" w:themeColor="background1"/>
            </w:tcBorders>
            <w:shd w:val="clear" w:color="auto" w:fill="9CC2E5" w:themeFill="accent1" w:themeFillTint="99"/>
          </w:tcPr>
          <w:p w:rsidR="00AA0A51" w:rsidRPr="00AA0A51" w:rsidRDefault="00AA0A51" w:rsidP="00D61595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smallCaps/>
                <w:color w:val="000000" w:themeColor="text1"/>
                <w:sz w:val="20"/>
                <w:szCs w:val="20"/>
              </w:rPr>
              <w:t>Descrição da Competência</w:t>
            </w:r>
          </w:p>
        </w:tc>
      </w:tr>
      <w:tr w:rsidR="00AA0A51" w:rsidRPr="00450001" w:rsidTr="00CE0011">
        <w:trPr>
          <w:trHeight w:val="411"/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 xml:space="preserve">Gestão: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administrar e coordenar os recursos existentes na unidade orgânica, designadamente, financeiros, administrativos, físicos e materiais.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 nomeadamente, nos seguintes comportamentos: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1 – Promove uma gestão racional, eficaz e transparente dos recursos financeiros: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Elabora o projeto de orçamento da escola e coordena a sua execução;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Presta contas sobre o funcionamento geral e o fundo escolar, aos órgãos próprios, seguindo as normas e os procedimentos da legislação vigente;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Procura fontes de recursos complementares;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Implementa uma gestão financeira da unidade orgânica que tem como referência os objetivos estratégicos assumidos para o mandato;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Implementa processos de controlo financeiro em análises custo-benefício.</w:t>
            </w:r>
          </w:p>
          <w:p w:rsidR="00AA0A51" w:rsidRPr="00450001" w:rsidRDefault="00AA0A51" w:rsidP="00D61595">
            <w:pPr>
              <w:spacing w:before="120" w:after="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lastRenderedPageBreak/>
              <w:t>2 – Promove uma gestão eficaz e eficiente dos processos administrativos: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Conhece, aplica e divulga as normas da legislação em vigor;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Cumpre os prazos estabelecidos pela legislação em vigor, tendo em atenção a particularidade dos processos;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Supervisiona os procedimentos inerentes às atividades dos serviços administrativos;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condições para a manutenção do património escolar, designadamente fixando procedimentos de controlo e registo;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Implementa medidas de funcionamento orientadas para a inovação e modernização dos processos administrativos;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Implementa um sistema de aferição dos níveis de satisfação demonstrados pela Comunidade Educativa;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Concebe manuais de procedimentos para os processos-chave da área administrativa sendo os respetivos procedimentos conformes aos instituídos.</w:t>
            </w:r>
          </w:p>
          <w:p w:rsidR="00AA0A51" w:rsidRPr="00450001" w:rsidRDefault="00AA0A51" w:rsidP="00D61595">
            <w:pPr>
              <w:spacing w:before="120" w:after="0"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3 – Promove uma gestão racional, eficaz dos recursos físicos e materiais: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Cria condições favoráveis para a utilização eficaz e funcionamento adequado das instalações;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Organiza os espaços escolares visando o melhor aproveitamento dos mesmos de modo a propiciar ambientes estimulantes à aprendizagem;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Implementa uma gestão racional dos equipamentos tecnológicos e materiais consumíveis;</w:t>
            </w:r>
          </w:p>
          <w:p w:rsidR="00AA0A51" w:rsidRPr="00450001" w:rsidRDefault="00AA0A51" w:rsidP="00D61595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Promove uma gestão dos recursos materiais tendo subjacentes questões ambientais.</w:t>
            </w:r>
          </w:p>
        </w:tc>
      </w:tr>
      <w:tr w:rsidR="00AA0A51" w:rsidRPr="00450001" w:rsidTr="00CE0011">
        <w:trPr>
          <w:trHeight w:val="3132"/>
          <w:jc w:val="center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AA0A51" w:rsidRPr="00AA0A51" w:rsidRDefault="00AA0A51" w:rsidP="00D6159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A0A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065" w:type="dxa"/>
            <w:shd w:val="clear" w:color="auto" w:fill="FFF2CC" w:themeFill="accent4" w:themeFillTint="33"/>
          </w:tcPr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b/>
                <w:smallCaps/>
                <w:sz w:val="20"/>
                <w:szCs w:val="20"/>
              </w:rPr>
              <w:t xml:space="preserve">Orientação para a Segurança: </w:t>
            </w:r>
            <w:r w:rsidRPr="00450001">
              <w:rPr>
                <w:rFonts w:ascii="Arial" w:eastAsia="Calibri" w:hAnsi="Arial" w:cs="Arial"/>
                <w:sz w:val="20"/>
                <w:szCs w:val="20"/>
              </w:rPr>
              <w:t>Capacidade para integrar na sua função o cumprimento das normas de segurança, higiene e saúde no trabalho e defesa do ambiente, prevenindo riscos e acidentes profissionais e ambientais.</w:t>
            </w:r>
          </w:p>
          <w:p w:rsidR="00AA0A51" w:rsidRPr="00450001" w:rsidRDefault="00AA0A51" w:rsidP="00D61595">
            <w:pPr>
              <w:spacing w:before="120"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Traduz-se, nomeadamente, nos seguintes comportamentos:</w:t>
            </w:r>
          </w:p>
          <w:p w:rsidR="00AA0A51" w:rsidRPr="00450001" w:rsidRDefault="00AA0A51" w:rsidP="00D61595">
            <w:pPr>
              <w:numPr>
                <w:ilvl w:val="0"/>
                <w:numId w:val="4"/>
              </w:numPr>
              <w:spacing w:before="120" w:after="0" w:line="360" w:lineRule="auto"/>
              <w:ind w:left="73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Cumpre e assegura o cumprimento das normas e procedimentos relativos à segurança, higiene e saúde no trabalho.</w:t>
            </w:r>
          </w:p>
          <w:p w:rsidR="00AA0A51" w:rsidRPr="00450001" w:rsidRDefault="00AA0A51" w:rsidP="00D61595">
            <w:pPr>
              <w:numPr>
                <w:ilvl w:val="0"/>
                <w:numId w:val="4"/>
              </w:numPr>
              <w:spacing w:before="120" w:after="0" w:line="360" w:lineRule="auto"/>
              <w:ind w:left="73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Utiliza e fomenta a utilização de sistemas de controlo e verificação para identificar eventuais anomalias e garantir a segurança.</w:t>
            </w:r>
          </w:p>
          <w:p w:rsidR="00AA0A51" w:rsidRPr="00450001" w:rsidRDefault="00AA0A51" w:rsidP="00D61595">
            <w:pPr>
              <w:numPr>
                <w:ilvl w:val="0"/>
                <w:numId w:val="4"/>
              </w:numPr>
              <w:spacing w:before="120" w:after="0" w:line="360" w:lineRule="auto"/>
              <w:ind w:left="73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Tem um comportamento profissional cuidadoso e responsável de modo a prevenir situações que ponham em risco pessoas, equipamentos e o meio ambiente.</w:t>
            </w:r>
          </w:p>
          <w:p w:rsidR="00AA0A51" w:rsidRPr="00450001" w:rsidRDefault="00AA0A51" w:rsidP="00D61595">
            <w:pPr>
              <w:numPr>
                <w:ilvl w:val="0"/>
                <w:numId w:val="4"/>
              </w:numPr>
              <w:spacing w:before="120" w:after="0" w:line="360" w:lineRule="auto"/>
              <w:ind w:left="73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0001">
              <w:rPr>
                <w:rFonts w:ascii="Arial" w:eastAsia="Calibri" w:hAnsi="Arial" w:cs="Arial"/>
                <w:sz w:val="20"/>
                <w:szCs w:val="20"/>
              </w:rPr>
              <w:t>Responsabiliza os colaboradores pela utilização de veículos, equipamentos e materiais com correção e segurança.</w:t>
            </w:r>
          </w:p>
        </w:tc>
      </w:tr>
    </w:tbl>
    <w:p w:rsidR="00CB4412" w:rsidRPr="00AA0A51" w:rsidRDefault="00CB4412" w:rsidP="00AA0A51"/>
    <w:sectPr w:rsidR="00CB4412" w:rsidRPr="00AA0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E82"/>
    <w:multiLevelType w:val="hybridMultilevel"/>
    <w:tmpl w:val="441C6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4771C"/>
    <w:multiLevelType w:val="hybridMultilevel"/>
    <w:tmpl w:val="58A2A096"/>
    <w:lvl w:ilvl="0" w:tplc="F9E2D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91F9D"/>
    <w:multiLevelType w:val="hybridMultilevel"/>
    <w:tmpl w:val="251AB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69ED"/>
    <w:multiLevelType w:val="hybridMultilevel"/>
    <w:tmpl w:val="C144E2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12AE"/>
    <w:multiLevelType w:val="hybridMultilevel"/>
    <w:tmpl w:val="8ABEFE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133FC"/>
    <w:multiLevelType w:val="hybridMultilevel"/>
    <w:tmpl w:val="F8B4B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4321"/>
    <w:multiLevelType w:val="hybridMultilevel"/>
    <w:tmpl w:val="697670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706B9"/>
    <w:multiLevelType w:val="hybridMultilevel"/>
    <w:tmpl w:val="39BC5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A59EC"/>
    <w:multiLevelType w:val="hybridMultilevel"/>
    <w:tmpl w:val="D26880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F42FC"/>
    <w:multiLevelType w:val="hybridMultilevel"/>
    <w:tmpl w:val="158E3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4E68395A"/>
    <w:multiLevelType w:val="hybridMultilevel"/>
    <w:tmpl w:val="C08C2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C156F"/>
    <w:multiLevelType w:val="hybridMultilevel"/>
    <w:tmpl w:val="7826CFE4"/>
    <w:lvl w:ilvl="0" w:tplc="F9E2D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B351AD"/>
    <w:multiLevelType w:val="hybridMultilevel"/>
    <w:tmpl w:val="2DD81D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635DD"/>
    <w:multiLevelType w:val="hybridMultilevel"/>
    <w:tmpl w:val="6A105A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A1424"/>
    <w:multiLevelType w:val="hybridMultilevel"/>
    <w:tmpl w:val="CC86E84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75A626E3"/>
    <w:multiLevelType w:val="hybridMultilevel"/>
    <w:tmpl w:val="1456A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44154"/>
    <w:multiLevelType w:val="hybridMultilevel"/>
    <w:tmpl w:val="0C3CC3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3"/>
  </w:num>
  <w:num w:numId="7">
    <w:abstractNumId w:val="17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1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dit="readOnly" w:formatting="1" w:enforcement="1" w:cryptProviderType="rsaAES" w:cryptAlgorithmClass="hash" w:cryptAlgorithmType="typeAny" w:cryptAlgorithmSid="14" w:cryptSpinCount="100000" w:hash="H5GMc0D4bVFddfp1paMSMKOi9FyqqdQwx7tgvSVLFt98bAH02e204SE5ODUiRnUK1iCCo0E7ZtGjM8ZJJN/YaQ==" w:salt="hNqoUL5lnsdEy358WEmn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1"/>
    <w:rsid w:val="0002167E"/>
    <w:rsid w:val="00175AE8"/>
    <w:rsid w:val="006A45BB"/>
    <w:rsid w:val="00742710"/>
    <w:rsid w:val="00AA0A51"/>
    <w:rsid w:val="00B25EC3"/>
    <w:rsid w:val="00BC238A"/>
    <w:rsid w:val="00CB4412"/>
    <w:rsid w:val="00CE0011"/>
    <w:rsid w:val="00EE1EEA"/>
    <w:rsid w:val="00F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51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A5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E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1E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51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A5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E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1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Aguarda_Parecer" source-type="AdditionalFields">
        <TAG><![CDATA[#NOVOREGISTO:CA:Aguarda_Parecer#]]></TAG>
        <VALUE><![CDATA[#NOVOREGISTO:CA:Aguarda_Parecer#]]></VALUE>
        <XPATH><![CDATA[/CARD/FIELDS/FIELD[FIELD='Aguarda_Parecer']/VALUE]]></XPATH>
      </FIELD>
      <FIELD type="AdditionalFields" label="DRE" source-type="AdditionalFields">
        <TAG><![CDATA[#NOVOREGISTO:CA:DRE#]]></TAG>
        <VALUE><![CDATA[#NOVOREGISTO:CA:DRE#]]></VALUE>
        <XPATH><![CDATA[/CARD/FIELDS/FIELD[FIELD='DRE']/VALUE]]></XPATH>
      </FIELD>
      <FIELD type="AdditionalFields" label="DRaC" source-type="AdditionalFields">
        <TAG><![CDATA[#NOVOREGISTO:CA:DRaC#]]></TAG>
        <VALUE><![CDATA[#NOVOREGISTO:CA:DRaC#]]></VALUE>
        <XPATH><![CDATA[/CARD/FIELDS/FIELD[FIELD='DRaC']/VALUE]]></XPATH>
      </FIELD>
      <FIELD type="AdditionalFields" label="DREFD" source-type="AdditionalFields">
        <TAG><![CDATA[#NOVOREGISTO:CA:DREFD#]]></TAG>
        <VALUE><![CDATA[#NOVOREGISTO:CA:DREFD#]]></VALUE>
        <XPATH><![CDATA[/CARD/FIELDS/FIELD[FIELD='DREFD']/VALUE]]></XPATH>
      </FIELD>
      <FIELD type="AdditionalFields" label="DRJEFP" source-type="AdditionalFields">
        <TAG><![CDATA[#NOVOREGISTO:CA:DRJEFP#]]></TAG>
        <VALUE><![CDATA[#NOVOREGISTO:CA:DRJEFP#]]></VALUE>
        <XPATH><![CDATA[/CARD/FIELDS/FIELD[FIELD='DRJEFP']/VALUE]]></XPATH>
      </FIELD>
      <FIELD type="AdditionalFields" label="GZCAH" source-type="AdditionalFields">
        <TAG><![CDATA[#NOVOREGISTO:CA:GZCAH#]]></TAG>
        <VALUE><![CDATA[#NOVOREGISTO:CA:GZCAH#]]></VALUE>
        <XPATH><![CDATA[/CARD/FIELDS/FIELD[FIELD='GZCAH']/VALUE]]></XPATH>
      </FIELD>
      <FIELD type="AdditionalFields" label="IRE" source-type="AdditionalFields">
        <TAG><![CDATA[#NOVOREGISTO:CA:IRE#]]></TAG>
        <VALUE><![CDATA[#NOVOREGISTO:CA:IRE#]]></VALUE>
        <XPATH><![CDATA[/CARD/FIELDS/FIELD[FIELD='IRE']/VALUE]]></XPATH>
      </FIELD>
      <FIELD type="AdditionalFields" label="IRT" source-type="AdditionalFields">
        <TAG><![CDATA[#NOVOREGISTO:CA:IRT#]]></TAG>
        <VALUE><![CDATA[#NOVOREGISTO:CA:IRT#]]></VALUE>
        <XPATH><![CDATA[/CARD/FIELDS/FIELD[FIELD='IRT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DRCT" source-type="AdditionalFields">
        <TAG><![CDATA[#NOVOREGISTO:CA:DRCT#]]></TAG>
        <VALUE><![CDATA[#NOVOREGISTO:CA:DRCT#]]></VALUE>
        <XPATH><![CDATA[/CARD/FIELDS/FIELD[FIELD='DRCT']/VALUE]]></XPATH>
      </FIELD>
      <FIELD type="AdditionalFields" label="DRJ" source-type="AdditionalFields">
        <TAG><![CDATA[#NOVOREGISTO:CA:DRJ#]]></TAG>
        <VALUE><![CDATA[#NOVOREGISTO:CA:DRJ#]]></VALUE>
        <XPATH><![CDATA[/CARD/FIELDS/FIELD[FIELD='DRJ']/VALUE]]></XPATH>
      </FIELD>
      <FIELD type="AdditionalFields" label="DRTQP" source-type="AdditionalFields">
        <TAG><![CDATA[#NOVOREGISTO:CA:DRTQP#]]></TAG>
        <VALUE><![CDATA[#NOVOREGISTO:CA:DRTQP#]]></VALUE>
        <XPATH><![CDATA[/CARD/FIELDS/FIELD[FIELD='DRTQP']/VALUE]]></XPATH>
      </FIELD>
      <FIELD type="AdditionalFields" label="DRD" source-type="AdditionalFields">
        <TAG><![CDATA[#NOVOREGISTO:CA:DRD#]]></TAG>
        <VALUE><![CDATA[#NOVOREGISTO:CA:DRD#]]></VALUE>
        <XPATH><![CDATA[/CARD/FIELDS/FIELD[FIELD='DR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Aguarda_Parecer" source-type="AdditionalFields">
        <TAG><![CDATA[#PRIMEIROREGISTO:CA:Aguarda_Parecer#]]></TAG>
        <VALUE><![CDATA[#PRIMEIROREGISTO:CA:Aguarda_Parecer#]]></VALUE>
        <XPATH><![CDATA[/CARD/FIELDS/FIELD[NAME='Aguarda_Parecer']/VALUE]]></XPATH>
      </FIELD>
      <FIELD type="AdditionalFields" label="DRE" source-type="AdditionalFields">
        <TAG><![CDATA[#PRIMEIROREGISTO:CA:DRE#]]></TAG>
        <VALUE><![CDATA[#PRIMEIROREGISTO:CA:DRE#]]></VALUE>
        <XPATH><![CDATA[/CARD/FIELDS/FIELD[NAME='DRE']/VALUE]]></XPATH>
      </FIELD>
      <FIELD type="AdditionalFields" label="DRaC" source-type="AdditionalFields">
        <TAG><![CDATA[#PRIMEIROREGISTO:CA:DRaC#]]></TAG>
        <VALUE><![CDATA[#PRIMEIROREGISTO:CA:DRaC#]]></VALUE>
        <XPATH><![CDATA[/CARD/FIELDS/FIELD[NAME='DRaC']/VALUE]]></XPATH>
      </FIELD>
      <FIELD type="AdditionalFields" label="DREFD" source-type="AdditionalFields">
        <TAG><![CDATA[#PRIMEIROREGISTO:CA:DREFD#]]></TAG>
        <VALUE><![CDATA[#PRIMEIROREGISTO:CA:DREFD#]]></VALUE>
        <XPATH><![CDATA[/CARD/FIELDS/FIELD[NAME='DREFD']/VALUE]]></XPATH>
      </FIELD>
      <FIELD type="AdditionalFields" label="DRJEFP" source-type="AdditionalFields">
        <TAG><![CDATA[#PRIMEIROREGISTO:CA:DRJEFP#]]></TAG>
        <VALUE><![CDATA[#PRIMEIROREGISTO:CA:DRJEFP#]]></VALUE>
        <XPATH><![CDATA[/CARD/FIELDS/FIELD[NAME='DRJEFP']/VALUE]]></XPATH>
      </FIELD>
      <FIELD type="AdditionalFields" label="GZCAH" source-type="AdditionalFields">
        <TAG><![CDATA[#PRIMEIROREGISTO:CA:GZCAH#]]></TAG>
        <VALUE><![CDATA[#PRIMEIROREGISTO:CA:GZCAH#]]></VALUE>
        <XPATH><![CDATA[/CARD/FIELDS/FIELD[NAME='GZCAH']/VALUE]]></XPATH>
      </FIELD>
      <FIELD type="AdditionalFields" label="IRE" source-type="AdditionalFields">
        <TAG><![CDATA[#PRIMEIROREGISTO:CA:IRE#]]></TAG>
        <VALUE><![CDATA[#PRIMEIROREGISTO:CA:IRE#]]></VALUE>
        <XPATH><![CDATA[/CARD/FIELDS/FIELD[NAME='IRE']/VALUE]]></XPATH>
      </FIELD>
      <FIELD type="AdditionalFields" label="IRT" source-type="AdditionalFields">
        <TAG><![CDATA[#PRIMEIROREGISTO:CA:IRT#]]></TAG>
        <VALUE><![CDATA[#PRIMEIROREGISTO:CA:IRT#]]></VALUE>
        <XPATH><![CDATA[/CARD/FIELDS/FIELD[NAME='IRT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DRCT" source-type="AdditionalFields">
        <TAG><![CDATA[#PRIMEIROREGISTO:CA:DRCT#]]></TAG>
        <VALUE><![CDATA[#PRIMEIROREGISTO:CA:DRCT#]]></VALUE>
        <XPATH><![CDATA[/CARD/FIELDS/FIELD[NAME='DRCT']/VALUE]]></XPATH>
      </FIELD>
      <FIELD type="AdditionalFields" label="DRJ" source-type="AdditionalFields">
        <TAG><![CDATA[#PRIMEIROREGISTO:CA:DRJ#]]></TAG>
        <VALUE><![CDATA[#PRIMEIROREGISTO:CA:DRJ#]]></VALUE>
        <XPATH><![CDATA[/CARD/FIELDS/FIELD[NAME='DRJ']/VALUE]]></XPATH>
      </FIELD>
      <FIELD type="AdditionalFields" label="DRTQP" source-type="AdditionalFields">
        <TAG><![CDATA[#PRIMEIROREGISTO:CA:DRTQP#]]></TAG>
        <VALUE><![CDATA[#PRIMEIROREGISTO:CA:DRTQP#]]></VALUE>
        <XPATH><![CDATA[/CARD/FIELDS/FIELD[NAME='DRTQP']/VALUE]]></XPATH>
      </FIELD>
      <FIELD type="AdditionalFields" label="DRD" source-type="AdditionalFields">
        <TAG><![CDATA[#PRIMEIROREGISTO:CA:DRD#]]></TAG>
        <VALUE><![CDATA[#PRIMEIROREGISTO:CA:DRD#]]></VALUE>
        <XPATH><![CDATA[/CARD/FIELDS/FIELD[NAME='DR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Aguarda_Parecer" source-type="AdditionalFields">
        <TAG><![CDATA[#PRIMEIROPROCESSO:CA:Aguarda_Parecer#]]></TAG>
        <VALUE><![CDATA[#PRIMEIROPROCESSO:CA:Aguarda_Parecer#]]></VALUE>
        <XPATH><![CDATA[/CARD/FIELDS/FIELD[NAME='Aguarda_Parecer']/VALUE]]></XPATH>
      </FIELD>
      <FIELD type="AdditionalFields" label="DRE" source-type="AdditionalFields">
        <TAG><![CDATA[#PRIMEIROPROCESSO:CA:DRE#]]></TAG>
        <VALUE><![CDATA[#PRIMEIROPROCESSO:CA:DRE#]]></VALUE>
        <XPATH><![CDATA[/CARD/FIELDS/FIELD[NAME='DRE']/VALUE]]></XPATH>
      </FIELD>
      <FIELD type="AdditionalFields" label="DRaC" source-type="AdditionalFields">
        <TAG><![CDATA[#PRIMEIROPROCESSO:CA:DRaC#]]></TAG>
        <VALUE><![CDATA[#PRIMEIROPROCESSO:CA:DRaC#]]></VALUE>
        <XPATH><![CDATA[/CARD/FIELDS/FIELD[NAME='DRaC']/VALUE]]></XPATH>
      </FIELD>
      <FIELD type="AdditionalFields" label="DREFD" source-type="AdditionalFields">
        <TAG><![CDATA[#PRIMEIROPROCESSO:CA:DREFD#]]></TAG>
        <VALUE><![CDATA[#PRIMEIROPROCESSO:CA:DREFD#]]></VALUE>
        <XPATH><![CDATA[/CARD/FIELDS/FIELD[NAME='DREFD']/VALUE]]></XPATH>
      </FIELD>
      <FIELD type="AdditionalFields" label="DRJEFP" source-type="AdditionalFields">
        <TAG><![CDATA[#PRIMEIROPROCESSO:CA:DRJEFP#]]></TAG>
        <VALUE><![CDATA[#PRIMEIROPROCESSO:CA:DRJEFP#]]></VALUE>
        <XPATH><![CDATA[/CARD/FIELDS/FIELD[NAME='DRJEFP']/VALUE]]></XPATH>
      </FIELD>
      <FIELD type="AdditionalFields" label="GZCAH" source-type="AdditionalFields">
        <TAG><![CDATA[#PRIMEIROPROCESSO:CA:GZCAH#]]></TAG>
        <VALUE><![CDATA[#PRIMEIROPROCESSO:CA:GZCAH#]]></VALUE>
        <XPATH><![CDATA[/CARD/FIELDS/FIELD[NAME='GZCAH']/VALUE]]></XPATH>
      </FIELD>
      <FIELD type="AdditionalFields" label="IRE" source-type="AdditionalFields">
        <TAG><![CDATA[#PRIMEIROPROCESSO:CA:IRE#]]></TAG>
        <VALUE><![CDATA[#PRIMEIROPROCESSO:CA:IRE#]]></VALUE>
        <XPATH><![CDATA[/CARD/FIELDS/FIELD[NAME='IRE']/VALUE]]></XPATH>
      </FIELD>
      <FIELD type="AdditionalFields" label="IRT" source-type="AdditionalFields">
        <TAG><![CDATA[#PRIMEIROPROCESSO:CA:IRT#]]></TAG>
        <VALUE><![CDATA[#PRIMEIROPROCESSO:CA:IRT#]]></VALUE>
        <XPATH><![CDATA[/CARD/FIELDS/FIELD[NAME='IRT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DRCT" source-type="AdditionalFields">
        <TAG><![CDATA[#PRIMEIROPROCESSO:CA:DRCT#]]></TAG>
        <VALUE><![CDATA[#PRIMEIROPROCESSO:CA:DRCT#]]></VALUE>
        <XPATH><![CDATA[/CARD/FIELDS/FIELD[NAME='DRCT']/VALUE]]></XPATH>
      </FIELD>
      <FIELD type="AdditionalFields" label="DRJ" source-type="AdditionalFields">
        <TAG><![CDATA[#PRIMEIROPROCESSO:CA:DRJ#]]></TAG>
        <VALUE><![CDATA[#PRIMEIROPROCESSO:CA:DRJ#]]></VALUE>
        <XPATH><![CDATA[/CARD/FIELDS/FIELD[NAME='DRJ']/VALUE]]></XPATH>
      </FIELD>
      <FIELD type="AdditionalFields" label="DRTQP" source-type="AdditionalFields">
        <TAG><![CDATA[#PRIMEIROPROCESSO:CA:DRTQP#]]></TAG>
        <VALUE><![CDATA[#PRIMEIROPROCESSO:CA:DRTQP#]]></VALUE>
        <XPATH><![CDATA[/CARD/FIELDS/FIELD[NAME='DRTQP']/VALUE]]></XPATH>
      </FIELD>
      <FIELD type="AdditionalFields" label="DRD" source-type="AdditionalFields">
        <TAG><![CDATA[#PRIMEIROPROCESSO:CA:DRD#]]></TAG>
        <VALUE><![CDATA[#PRIMEIROPROCESSO:CA:DRD#]]></VALUE>
        <XPATH><![CDATA[/CARD/FIELDS/FIELD[NAME='DR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Aguarda_Parecer" source-type="AdditionalFields">
        <TAG><![CDATA[#REGISTO:CA:Aguarda_Parecer#]]></TAG>
        <VALUE><![CDATA[#REGISTO:CA:Aguarda_Parecer#]]></VALUE>
        <XPATH><![CDATA[/CARD/FIELDS/FIELD[NAME='Aguarda_Parecer']/VALUE]]></XPATH>
      </FIELD>
      <FIELD type="AdditionalFields" label="DRE" source-type="AdditionalFields">
        <TAG><![CDATA[#REGISTO:CA:DRE#]]></TAG>
        <VALUE><![CDATA[#REGISTO:CA:DRE#]]></VALUE>
        <XPATH><![CDATA[/CARD/FIELDS/FIELD[NAME='DRE']/VALUE]]></XPATH>
      </FIELD>
      <FIELD type="AdditionalFields" label="DRaC" source-type="AdditionalFields">
        <TAG><![CDATA[#REGISTO:CA:DRaC#]]></TAG>
        <VALUE><![CDATA[#REGISTO:CA:DRaC#]]></VALUE>
        <XPATH><![CDATA[/CARD/FIELDS/FIELD[NAME='DRaC']/VALUE]]></XPATH>
      </FIELD>
      <FIELD type="AdditionalFields" label="DREFD" source-type="AdditionalFields">
        <TAG><![CDATA[#REGISTO:CA:DREFD#]]></TAG>
        <VALUE><![CDATA[#REGISTO:CA:DREFD#]]></VALUE>
        <XPATH><![CDATA[/CARD/FIELDS/FIELD[NAME='DREFD']/VALUE]]></XPATH>
      </FIELD>
      <FIELD type="AdditionalFields" label="DRJEFP" source-type="AdditionalFields">
        <TAG><![CDATA[#REGISTO:CA:DRJEFP#]]></TAG>
        <VALUE><![CDATA[#REGISTO:CA:DRJEFP#]]></VALUE>
        <XPATH><![CDATA[/CARD/FIELDS/FIELD[NAME='DRJEFP']/VALUE]]></XPATH>
      </FIELD>
      <FIELD type="AdditionalFields" label="GZCAH" source-type="AdditionalFields">
        <TAG><![CDATA[#REGISTO:CA:GZCAH#]]></TAG>
        <VALUE><![CDATA[#REGISTO:CA:GZCAH#]]></VALUE>
        <XPATH><![CDATA[/CARD/FIELDS/FIELD[NAME='GZCAH']/VALUE]]></XPATH>
      </FIELD>
      <FIELD type="AdditionalFields" label="IRE" source-type="AdditionalFields">
        <TAG><![CDATA[#REGISTO:CA:IRE#]]></TAG>
        <VALUE><![CDATA[#REGISTO:CA:IRE#]]></VALUE>
        <XPATH><![CDATA[/CARD/FIELDS/FIELD[NAME='IRE']/VALUE]]></XPATH>
      </FIELD>
      <FIELD type="AdditionalFields" label="IRT" source-type="AdditionalFields">
        <TAG><![CDATA[#REGISTO:CA:IRT#]]></TAG>
        <VALUE><![CDATA[#REGISTO:CA:IRT#]]></VALUE>
        <XPATH><![CDATA[/CARD/FIELDS/FIELD[NAME='IRT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DRCT" source-type="AdditionalFields">
        <TAG><![CDATA[#REGISTO:CA:DRCT#]]></TAG>
        <VALUE><![CDATA[#REGISTO:CA:DRCT#]]></VALUE>
        <XPATH><![CDATA[/CARD/FIELDS/FIELD[NAME='DRCT']/VALUE]]></XPATH>
      </FIELD>
      <FIELD type="AdditionalFields" label="DRJ" source-type="AdditionalFields">
        <TAG><![CDATA[#REGISTO:CA:DRJ#]]></TAG>
        <VALUE><![CDATA[#REGISTO:CA:DRJ#]]></VALUE>
        <XPATH><![CDATA[/CARD/FIELDS/FIELD[NAME='DRJ']/VALUE]]></XPATH>
      </FIELD>
      <FIELD type="AdditionalFields" label="DRTQP" source-type="AdditionalFields">
        <TAG><![CDATA[#REGISTO:CA:DRTQP#]]></TAG>
        <VALUE><![CDATA[#REGISTO:CA:DRTQP#]]></VALUE>
        <XPATH><![CDATA[/CARD/FIELDS/FIELD[NAME='DRTQP']/VALUE]]></XPATH>
      </FIELD>
      <FIELD type="AdditionalFields" label="DRD" source-type="AdditionalFields">
        <TAG><![CDATA[#REGISTO:CA:DRD#]]></TAG>
        <VALUE><![CDATA[#REGISTO:CA:DRD#]]></VALUE>
        <XPATH><![CDATA[/CARD/FIELDS/FIELD[NAME='DR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Aguarda_Parecer" source-type="AdditionalFields">
        <TAG><![CDATA[#CONTEXTPROCESS:CA:Aguarda_Parecer#]]></TAG>
        <VALUE><![CDATA[Aguarda_Parecer]]></VALUE>
        <XPATH><![CDATA[/PROCESS/FIELDS/FIELD[NAME='Aguarda_Parecer']/VALUE]]></XPATH>
      </FIELD>
      <FIELD type="AdditionalFields" label="DRE" source-type="AdditionalFields">
        <TAG><![CDATA[#CONTEXTPROCESS:CA:DRE#]]></TAG>
        <VALUE><![CDATA[DRE]]></VALUE>
        <XPATH><![CDATA[/PROCESS/FIELDS/FIELD[NAME='DRE']/VALUE]]></XPATH>
      </FIELD>
      <FIELD type="AdditionalFields" label="DRaC" source-type="AdditionalFields">
        <TAG><![CDATA[#CONTEXTPROCESS:CA:DRaC#]]></TAG>
        <VALUE><![CDATA[DRaC]]></VALUE>
        <XPATH><![CDATA[/PROCESS/FIELDS/FIELD[NAME='DRaC']/VALUE]]></XPATH>
      </FIELD>
      <FIELD type="AdditionalFields" label="DREFD" source-type="AdditionalFields">
        <TAG><![CDATA[#CONTEXTPROCESS:CA:DREFD#]]></TAG>
        <VALUE><![CDATA[DREFD]]></VALUE>
        <XPATH><![CDATA[/PROCESS/FIELDS/FIELD[NAME='DREFD']/VALUE]]></XPATH>
      </FIELD>
      <FIELD type="AdditionalFields" label="DRJEFP" source-type="AdditionalFields">
        <TAG><![CDATA[#CONTEXTPROCESS:CA:DRJEFP#]]></TAG>
        <VALUE><![CDATA[DRJEFP]]></VALUE>
        <XPATH><![CDATA[/PROCESS/FIELDS/FIELD[NAME='DRJEFP']/VALUE]]></XPATH>
      </FIELD>
      <FIELD type="AdditionalFields" label="GZCAH" source-type="AdditionalFields">
        <TAG><![CDATA[#CONTEXTPROCESS:CA:GZCAH#]]></TAG>
        <VALUE><![CDATA[GZCAH]]></VALUE>
        <XPATH><![CDATA[/PROCESS/FIELDS/FIELD[NAME='GZCAH']/VALUE]]></XPATH>
      </FIELD>
      <FIELD type="AdditionalFields" label="IRE" source-type="AdditionalFields">
        <TAG><![CDATA[#CONTEXTPROCESS:CA:IRE#]]></TAG>
        <VALUE><![CDATA[IRE]]></VALUE>
        <XPATH><![CDATA[/PROCESS/FIELDS/FIELD[NAME='IRE']/VALUE]]></XPATH>
      </FIELD>
      <FIELD type="AdditionalFields" label="IRT" source-type="AdditionalFields">
        <TAG><![CDATA[#CONTEXTPROCESS:CA:IRT#]]></TAG>
        <VALUE><![CDATA[IRT]]></VALUE>
        <XPATH><![CDATA[/PROCESS/FIELDS/FIELD[NAME='IRT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DRCT" source-type="AdditionalFields">
        <TAG><![CDATA[#CONTEXTPROCESS:CA:DRCT#]]></TAG>
        <VALUE><![CDATA[DRCT]]></VALUE>
        <XPATH><![CDATA[/PROCESS/FIELDS/FIELD[NAME='DRCT']/VALUE]]></XPATH>
      </FIELD>
      <FIELD type="AdditionalFields" label="DRJ" source-type="AdditionalFields">
        <TAG><![CDATA[#CONTEXTPROCESS:CA:DRJ#]]></TAG>
        <VALUE><![CDATA[DRJ]]></VALUE>
        <XPATH><![CDATA[/PROCESS/FIELDS/FIELD[NAME='DRJ']/VALUE]]></XPATH>
      </FIELD>
      <FIELD type="AdditionalFields" label="DRTQP" source-type="AdditionalFields">
        <TAG><![CDATA[#CONTEXTPROCESS:CA:DRTQP#]]></TAG>
        <VALUE><![CDATA[DRTQP]]></VALUE>
        <XPATH><![CDATA[/PROCESS/FIELDS/FIELD[NAME='DRTQP']/VALUE]]></XPATH>
      </FIELD>
      <FIELD type="AdditionalFields" label="DRD" source-type="AdditionalFields">
        <TAG><![CDATA[#CONTEXTPROCESS:CA:DRD#]]></TAG>
        <VALUE><![CDATA[DRD]]></VALUE>
        <XPATH><![CDATA[/PROCESS/FIELDS/FIELD[NAME='DR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7BBF873-80E7-42ED-8EEA-29328C720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3343</Words>
  <Characters>18053</Characters>
  <Application>Microsoft Office Word</Application>
  <DocSecurity>12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21354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F. Pires</dc:creator>
  <cp:lastModifiedBy>  </cp:lastModifiedBy>
  <cp:revision>2</cp:revision>
  <cp:lastPrinted>2016-11-08T18:14:00Z</cp:lastPrinted>
  <dcterms:created xsi:type="dcterms:W3CDTF">2016-11-17T17:13:00Z</dcterms:created>
  <dcterms:modified xsi:type="dcterms:W3CDTF">2016-11-17T17:13:00Z</dcterms:modified>
</cp:coreProperties>
</file>