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E5" w:rsidRDefault="00EF57B1" w:rsidP="00DD7FE5">
      <w:r>
        <w:rPr>
          <w:noProof/>
        </w:rPr>
        <mc:AlternateContent>
          <mc:Choice Requires="wps">
            <w:drawing>
              <wp:anchor distT="0" distB="0" distL="114300" distR="114300" simplePos="0" relativeHeight="251657728" behindDoc="0" locked="0" layoutInCell="1" allowOverlap="1">
                <wp:simplePos x="0" y="0"/>
                <wp:positionH relativeFrom="page">
                  <wp:posOffset>4726305</wp:posOffset>
                </wp:positionH>
                <wp:positionV relativeFrom="page">
                  <wp:posOffset>214630</wp:posOffset>
                </wp:positionV>
                <wp:extent cx="2612390" cy="10264140"/>
                <wp:effectExtent l="3810" t="0" r="3175" b="0"/>
                <wp:wrapNone/>
                <wp:docPr id="3" name="Retâ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2390" cy="10264140"/>
                        </a:xfrm>
                        <a:prstGeom prst="rect">
                          <a:avLst/>
                        </a:prstGeom>
                        <a:solidFill>
                          <a:srgbClr val="F2F2F2"/>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jc w:val="center"/>
                            </w:pPr>
                            <w:r>
                              <w:rPr>
                                <w:rFonts w:ascii="Calibri" w:hAnsi="Calibri"/>
                                <w:b/>
                                <w:caps/>
                                <w:noProof/>
                                <w:sz w:val="24"/>
                              </w:rPr>
                              <w:drawing>
                                <wp:inline distT="0" distB="0" distL="0" distR="0">
                                  <wp:extent cx="866775" cy="809625"/>
                                  <wp:effectExtent l="0" t="0" r="0" b="0"/>
                                  <wp:docPr id="43" name="Imagem 43" descr="í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índ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inline>
                              </w:drawing>
                            </w: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Pr="00496D85" w:rsidRDefault="002F70E4" w:rsidP="00496D85">
                            <w:pPr>
                              <w:jc w:val="center"/>
                              <w:rPr>
                                <w:rFonts w:ascii="Calibri" w:hAnsi="Calibri"/>
                              </w:rPr>
                            </w:pPr>
                            <w:r w:rsidRPr="00496D85">
                              <w:rPr>
                                <w:rFonts w:ascii="Calibri" w:hAnsi="Calibri"/>
                              </w:rPr>
                              <w:t>Região Autónoma dos Açores</w:t>
                            </w:r>
                          </w:p>
                          <w:p w:rsidR="002F70E4" w:rsidRPr="00496D85" w:rsidRDefault="002F70E4" w:rsidP="00496D85">
                            <w:pPr>
                              <w:jc w:val="center"/>
                              <w:rPr>
                                <w:rFonts w:ascii="Calibri" w:hAnsi="Calibri"/>
                              </w:rPr>
                            </w:pPr>
                            <w:r w:rsidRPr="00496D85">
                              <w:rPr>
                                <w:rFonts w:ascii="Calibri" w:hAnsi="Calibri"/>
                              </w:rPr>
                              <w:t>Secretari</w:t>
                            </w:r>
                            <w:r>
                              <w:rPr>
                                <w:rFonts w:ascii="Calibri" w:hAnsi="Calibri"/>
                              </w:rPr>
                              <w:t>a Regional da Educação e dos Assuntos Culturais</w:t>
                            </w:r>
                          </w:p>
                          <w:p w:rsidR="002F70E4" w:rsidRPr="00496D85" w:rsidRDefault="002F70E4" w:rsidP="00672103">
                            <w:pPr>
                              <w:jc w:val="center"/>
                              <w:rPr>
                                <w:rFonts w:ascii="Calibri" w:hAnsi="Calibri"/>
                              </w:rPr>
                            </w:pPr>
                            <w:r w:rsidRPr="00496D85">
                              <w:rPr>
                                <w:rFonts w:ascii="Calibri" w:hAnsi="Calibri"/>
                              </w:rPr>
                              <w:t>Direção Regional da Educação</w:t>
                            </w:r>
                            <w:r>
                              <w:rPr>
                                <w:rFonts w:ascii="Calibri" w:hAnsi="Calibri"/>
                              </w:rPr>
                              <w:t xml:space="preserve"> e Administração Educativa</w:t>
                            </w: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Pr="00996AE6" w:rsidRDefault="002F70E4" w:rsidP="00DD7FE5">
                            <w:pPr>
                              <w:shd w:val="clear" w:color="auto" w:fill="C00000"/>
                            </w:pPr>
                          </w:p>
                          <w:p w:rsidR="002F70E4" w:rsidRDefault="002F70E4" w:rsidP="00DD7FE5">
                            <w:pPr>
                              <w:shd w:val="clear" w:color="auto" w:fill="C00000"/>
                              <w:jc w:val="center"/>
                              <w:rPr>
                                <w:sz w:val="24"/>
                                <w:szCs w:val="24"/>
                              </w:rPr>
                            </w:pPr>
                          </w:p>
                          <w:p w:rsidR="002F70E4" w:rsidRDefault="002F70E4" w:rsidP="00DD7FE5">
                            <w:pPr>
                              <w:shd w:val="clear" w:color="auto" w:fill="C00000"/>
                              <w:jc w:val="center"/>
                              <w:rPr>
                                <w:sz w:val="24"/>
                                <w:szCs w:val="24"/>
                              </w:rPr>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id="Retângulo 472" o:spid="_x0000_s1026" style="position:absolute;margin-left:372.15pt;margin-top:16.9pt;width:205.7pt;height:808.2pt;z-index:251657728;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" fillcolor="#f2f2f2" stroked="f" strokeweight="2pt">
                <v:path arrowok="t"/>
                <v:textbox inset="14.4pt,,14.4pt">
                  <w:txbxContent>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jc w:val="center"/>
                      </w:pPr>
                      <w:r>
                        <w:rPr>
                          <w:rFonts w:ascii="Calibri" w:hAnsi="Calibri"/>
                          <w:b/>
                          <w:caps/>
                          <w:noProof/>
                          <w:sz w:val="24"/>
                        </w:rPr>
                        <w:drawing>
                          <wp:inline distT="0" distB="0" distL="0" distR="0">
                            <wp:extent cx="866775" cy="809625"/>
                            <wp:effectExtent l="0" t="0" r="0" b="0"/>
                            <wp:docPr id="43" name="Imagem 43" descr="í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índ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inline>
                        </w:drawing>
                      </w: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Pr="00496D85" w:rsidRDefault="002F70E4" w:rsidP="00496D85">
                      <w:pPr>
                        <w:jc w:val="center"/>
                        <w:rPr>
                          <w:rFonts w:ascii="Calibri" w:hAnsi="Calibri"/>
                        </w:rPr>
                      </w:pPr>
                      <w:r w:rsidRPr="00496D85">
                        <w:rPr>
                          <w:rFonts w:ascii="Calibri" w:hAnsi="Calibri"/>
                        </w:rPr>
                        <w:t>Região Autónoma dos Açores</w:t>
                      </w:r>
                    </w:p>
                    <w:p w:rsidR="002F70E4" w:rsidRPr="00496D85" w:rsidRDefault="002F70E4" w:rsidP="00496D85">
                      <w:pPr>
                        <w:jc w:val="center"/>
                        <w:rPr>
                          <w:rFonts w:ascii="Calibri" w:hAnsi="Calibri"/>
                        </w:rPr>
                      </w:pPr>
                      <w:r w:rsidRPr="00496D85">
                        <w:rPr>
                          <w:rFonts w:ascii="Calibri" w:hAnsi="Calibri"/>
                        </w:rPr>
                        <w:t>Secretari</w:t>
                      </w:r>
                      <w:r>
                        <w:rPr>
                          <w:rFonts w:ascii="Calibri" w:hAnsi="Calibri"/>
                        </w:rPr>
                        <w:t>a Regional da Educação e dos Assuntos Culturais</w:t>
                      </w:r>
                    </w:p>
                    <w:p w:rsidR="002F70E4" w:rsidRPr="00496D85" w:rsidRDefault="002F70E4" w:rsidP="00672103">
                      <w:pPr>
                        <w:jc w:val="center"/>
                        <w:rPr>
                          <w:rFonts w:ascii="Calibri" w:hAnsi="Calibri"/>
                        </w:rPr>
                      </w:pPr>
                      <w:r w:rsidRPr="00496D85">
                        <w:rPr>
                          <w:rFonts w:ascii="Calibri" w:hAnsi="Calibri"/>
                        </w:rPr>
                        <w:t>Direção Regional da Educação</w:t>
                      </w:r>
                      <w:r>
                        <w:rPr>
                          <w:rFonts w:ascii="Calibri" w:hAnsi="Calibri"/>
                        </w:rPr>
                        <w:t xml:space="preserve"> e Administração Educativa</w:t>
                      </w: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Pr="00996AE6" w:rsidRDefault="002F70E4" w:rsidP="00DD7FE5">
                      <w:pPr>
                        <w:shd w:val="clear" w:color="auto" w:fill="C00000"/>
                      </w:pPr>
                    </w:p>
                    <w:p w:rsidR="002F70E4" w:rsidRDefault="002F70E4" w:rsidP="00DD7FE5">
                      <w:pPr>
                        <w:shd w:val="clear" w:color="auto" w:fill="C00000"/>
                        <w:jc w:val="center"/>
                        <w:rPr>
                          <w:sz w:val="24"/>
                          <w:szCs w:val="24"/>
                        </w:rPr>
                      </w:pPr>
                    </w:p>
                    <w:p w:rsidR="002F70E4" w:rsidRDefault="002F70E4" w:rsidP="00DD7FE5">
                      <w:pPr>
                        <w:shd w:val="clear" w:color="auto" w:fill="C00000"/>
                        <w:jc w:val="center"/>
                        <w:rPr>
                          <w:sz w:val="24"/>
                          <w:szCs w:val="24"/>
                        </w:rPr>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p w:rsidR="002F70E4" w:rsidRDefault="002F70E4" w:rsidP="00DD7FE5">
                      <w:pPr>
                        <w:shd w:val="clear" w:color="auto" w:fill="C00000"/>
                      </w:pPr>
                    </w:p>
                  </w:txbxContent>
                </v:textbox>
                <w10:wrap anchorx="page" anchory="page"/>
              </v:rect>
            </w:pict>
          </mc:Fallback>
        </mc:AlternateContent>
      </w:r>
    </w:p>
    <w:p w:rsidR="00DD7FE5" w:rsidRDefault="00DD7FE5" w:rsidP="00DD7FE5"/>
    <w:tbl>
      <w:tblPr>
        <w:tblW w:w="0" w:type="auto"/>
        <w:tblInd w:w="-1026" w:type="dxa"/>
        <w:tblLook w:val="04A0" w:firstRow="1" w:lastRow="0" w:firstColumn="1" w:lastColumn="0" w:noHBand="0" w:noVBand="1"/>
      </w:tblPr>
      <w:tblGrid>
        <w:gridCol w:w="6155"/>
      </w:tblGrid>
      <w:tr w:rsidR="00DD7FE5" w:rsidRPr="008A32B3" w:rsidTr="00496D85">
        <w:trPr>
          <w:trHeight w:val="328"/>
        </w:trPr>
        <w:tc>
          <w:tcPr>
            <w:tcW w:w="6155" w:type="dxa"/>
            <w:shd w:val="clear" w:color="auto" w:fill="auto"/>
          </w:tcPr>
          <w:p w:rsidR="00DD7FE5" w:rsidRDefault="00DD7FE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Pr="00496D85" w:rsidRDefault="00496D85" w:rsidP="008A32B3">
            <w:pPr>
              <w:jc w:val="center"/>
              <w:rPr>
                <w:rFonts w:ascii="Calibri" w:hAnsi="Calibri"/>
                <w:b/>
                <w:caps/>
                <w:sz w:val="52"/>
                <w:szCs w:val="52"/>
              </w:rPr>
            </w:pPr>
          </w:p>
          <w:p w:rsidR="00496D85" w:rsidRDefault="00C04D5D" w:rsidP="008A32B3">
            <w:pPr>
              <w:jc w:val="center"/>
              <w:rPr>
                <w:rFonts w:ascii="Calibri" w:hAnsi="Calibri"/>
                <w:b/>
                <w:caps/>
                <w:sz w:val="52"/>
                <w:szCs w:val="52"/>
              </w:rPr>
            </w:pPr>
            <w:r>
              <w:rPr>
                <w:rFonts w:ascii="Calibri" w:hAnsi="Calibri"/>
                <w:b/>
                <w:caps/>
                <w:sz w:val="52"/>
                <w:szCs w:val="52"/>
              </w:rPr>
              <w:t>RELATÓRIO DE GESTÃO</w:t>
            </w:r>
            <w:r w:rsidR="00496D85">
              <w:rPr>
                <w:rFonts w:ascii="Calibri" w:hAnsi="Calibri"/>
                <w:b/>
                <w:caps/>
                <w:sz w:val="52"/>
                <w:szCs w:val="52"/>
              </w:rPr>
              <w:t xml:space="preserve"> </w:t>
            </w:r>
          </w:p>
          <w:p w:rsidR="00496D85" w:rsidRPr="00496D85" w:rsidRDefault="00705862" w:rsidP="00496D85">
            <w:pPr>
              <w:jc w:val="center"/>
              <w:rPr>
                <w:rFonts w:ascii="Calibri" w:hAnsi="Calibri"/>
                <w:b/>
                <w:caps/>
                <w:sz w:val="40"/>
                <w:szCs w:val="40"/>
              </w:rPr>
            </w:pPr>
            <w:r>
              <w:rPr>
                <w:rFonts w:ascii="Calibri" w:hAnsi="Calibri"/>
                <w:b/>
                <w:caps/>
                <w:sz w:val="40"/>
                <w:szCs w:val="40"/>
              </w:rPr>
              <w:t xml:space="preserve">FUNDO ESCOLAR DA </w:t>
            </w:r>
            <w:r w:rsidR="00496D85" w:rsidRPr="00496D85">
              <w:rPr>
                <w:rFonts w:ascii="Calibri" w:hAnsi="Calibri"/>
                <w:b/>
                <w:caps/>
                <w:sz w:val="40"/>
                <w:szCs w:val="40"/>
              </w:rPr>
              <w:t xml:space="preserve">ESCOLA PROFISSIONAL DE CAPELAS </w:t>
            </w:r>
          </w:p>
          <w:p w:rsidR="00496D85" w:rsidRPr="00496D85" w:rsidRDefault="00672103" w:rsidP="008A32B3">
            <w:pPr>
              <w:jc w:val="center"/>
              <w:rPr>
                <w:rFonts w:ascii="Calibri" w:hAnsi="Calibri"/>
                <w:b/>
                <w:caps/>
                <w:sz w:val="40"/>
                <w:szCs w:val="40"/>
              </w:rPr>
            </w:pPr>
            <w:r>
              <w:rPr>
                <w:rFonts w:ascii="Calibri" w:hAnsi="Calibri"/>
                <w:b/>
                <w:caps/>
                <w:sz w:val="40"/>
                <w:szCs w:val="40"/>
              </w:rPr>
              <w:t>2022</w:t>
            </w: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Default="00496D85" w:rsidP="008A32B3">
            <w:pPr>
              <w:jc w:val="center"/>
              <w:rPr>
                <w:rFonts w:ascii="Calibri" w:hAnsi="Calibri"/>
                <w:b/>
                <w:caps/>
                <w:sz w:val="24"/>
              </w:rPr>
            </w:pPr>
          </w:p>
          <w:p w:rsidR="00496D85" w:rsidRPr="008A32B3" w:rsidRDefault="00496D85" w:rsidP="008A32B3">
            <w:pPr>
              <w:jc w:val="center"/>
              <w:rPr>
                <w:rFonts w:ascii="Calibri" w:hAnsi="Calibri"/>
                <w:b/>
                <w:caps/>
                <w:sz w:val="24"/>
              </w:rPr>
            </w:pPr>
          </w:p>
        </w:tc>
      </w:tr>
    </w:tbl>
    <w:p w:rsidR="00390CBA" w:rsidRDefault="00390CBA" w:rsidP="00DD7FE5">
      <w:pPr>
        <w:jc w:val="center"/>
        <w:rPr>
          <w:rFonts w:ascii="Calibri" w:hAnsi="Calibri"/>
          <w:b/>
          <w:caps/>
          <w:sz w:val="24"/>
        </w:rPr>
      </w:pPr>
    </w:p>
    <w:p w:rsidR="00DD7FE5" w:rsidRDefault="00DD7FE5" w:rsidP="00390CBA">
      <w:pPr>
        <w:jc w:val="center"/>
        <w:rPr>
          <w:rFonts w:ascii="Calibri" w:hAnsi="Calibri"/>
          <w:b/>
          <w:caps/>
          <w:sz w:val="24"/>
        </w:rPr>
      </w:pPr>
    </w:p>
    <w:p w:rsidR="00DD7FE5" w:rsidRDefault="00DD7FE5" w:rsidP="00390CBA">
      <w:pPr>
        <w:jc w:val="center"/>
        <w:rPr>
          <w:rFonts w:ascii="Calibri" w:hAnsi="Calibri"/>
          <w:b/>
          <w:caps/>
          <w:sz w:val="24"/>
        </w:rPr>
      </w:pPr>
    </w:p>
    <w:p w:rsidR="00DD7FE5" w:rsidRDefault="00DD7FE5" w:rsidP="00390CBA">
      <w:pPr>
        <w:jc w:val="center"/>
        <w:rPr>
          <w:rFonts w:ascii="Calibri" w:hAnsi="Calibri"/>
          <w:b/>
          <w:caps/>
          <w:sz w:val="24"/>
        </w:rPr>
      </w:pPr>
    </w:p>
    <w:p w:rsidR="00DD7FE5" w:rsidRDefault="00DD7FE5" w:rsidP="00390CBA">
      <w:pPr>
        <w:jc w:val="center"/>
        <w:rPr>
          <w:rFonts w:ascii="Calibri" w:hAnsi="Calibri"/>
          <w:b/>
          <w:caps/>
          <w:sz w:val="24"/>
        </w:rPr>
      </w:pPr>
    </w:p>
    <w:p w:rsidR="00DD7FE5" w:rsidRDefault="00DD7FE5" w:rsidP="00390CBA">
      <w:pPr>
        <w:jc w:val="center"/>
        <w:rPr>
          <w:rFonts w:ascii="Calibri" w:hAnsi="Calibri"/>
          <w:b/>
          <w:caps/>
          <w:sz w:val="24"/>
        </w:rPr>
      </w:pPr>
    </w:p>
    <w:p w:rsidR="00DD7FE5" w:rsidRDefault="00DD7FE5" w:rsidP="00390CBA">
      <w:pPr>
        <w:jc w:val="center"/>
        <w:rPr>
          <w:rFonts w:ascii="Calibri" w:hAnsi="Calibri"/>
          <w:b/>
          <w:caps/>
          <w:sz w:val="24"/>
        </w:rPr>
      </w:pPr>
    </w:p>
    <w:p w:rsidR="00DD7FE5" w:rsidRDefault="00DD7FE5" w:rsidP="00390CBA">
      <w:pPr>
        <w:jc w:val="center"/>
        <w:rPr>
          <w:rFonts w:ascii="Calibri" w:hAnsi="Calibri"/>
          <w:b/>
          <w:caps/>
          <w:sz w:val="24"/>
        </w:rPr>
      </w:pPr>
    </w:p>
    <w:p w:rsidR="00DD7FE5" w:rsidRDefault="00DD7FE5" w:rsidP="00390CBA">
      <w:pPr>
        <w:jc w:val="center"/>
        <w:rPr>
          <w:rFonts w:ascii="Calibri" w:hAnsi="Calibri"/>
          <w:b/>
          <w:caps/>
          <w:sz w:val="24"/>
        </w:rPr>
      </w:pPr>
    </w:p>
    <w:p w:rsidR="00DD7FE5" w:rsidRDefault="00DD7FE5" w:rsidP="00390CBA">
      <w:pPr>
        <w:jc w:val="center"/>
        <w:rPr>
          <w:rFonts w:ascii="Calibri" w:hAnsi="Calibri"/>
          <w:b/>
          <w:caps/>
          <w:sz w:val="24"/>
        </w:rPr>
      </w:pPr>
    </w:p>
    <w:p w:rsidR="00DD7FE5" w:rsidRDefault="00DD7FE5"/>
    <w:p w:rsidR="00DD7FE5" w:rsidRDefault="00DD7FE5"/>
    <w:p w:rsidR="00DD7FE5" w:rsidRDefault="00DD7FE5"/>
    <w:p w:rsidR="00DD7FE5" w:rsidRDefault="00DD7FE5"/>
    <w:p w:rsidR="00DD7FE5" w:rsidRDefault="00DD7FE5"/>
    <w:p w:rsidR="00D21CF5" w:rsidRDefault="00D21CF5" w:rsidP="00DD7FE5">
      <w:pPr>
        <w:jc w:val="right"/>
      </w:pPr>
    </w:p>
    <w:p w:rsidR="00D21CF5" w:rsidRDefault="00D21CF5"/>
    <w:p w:rsidR="00D21CF5" w:rsidRDefault="00D21CF5" w:rsidP="000B3216">
      <w:pPr>
        <w:tabs>
          <w:tab w:val="left" w:pos="2310"/>
          <w:tab w:val="center" w:pos="4252"/>
        </w:tabs>
        <w:jc w:val="center"/>
        <w:rPr>
          <w:rFonts w:ascii="Century Gothic" w:hAnsi="Century Gothic"/>
          <w:sz w:val="18"/>
          <w:szCs w:val="18"/>
        </w:rPr>
      </w:pPr>
      <w:r>
        <w:rPr>
          <w:rFonts w:ascii="Century Gothic" w:hAnsi="Century Gothic"/>
          <w:sz w:val="18"/>
          <w:szCs w:val="18"/>
        </w:rPr>
        <w:br w:type="page"/>
      </w:r>
    </w:p>
    <w:p w:rsidR="002673B6" w:rsidRDefault="002673B6" w:rsidP="0007778B">
      <w:pPr>
        <w:tabs>
          <w:tab w:val="left" w:pos="2310"/>
          <w:tab w:val="center" w:pos="4252"/>
        </w:tabs>
        <w:jc w:val="center"/>
        <w:rPr>
          <w:rFonts w:ascii="Euphemia" w:hAnsi="Euphemia"/>
          <w:b/>
          <w:sz w:val="24"/>
          <w:szCs w:val="24"/>
        </w:rPr>
      </w:pPr>
    </w:p>
    <w:p w:rsidR="002673B6" w:rsidRPr="00E02C75" w:rsidRDefault="00186C2F" w:rsidP="0007778B">
      <w:pPr>
        <w:tabs>
          <w:tab w:val="left" w:pos="2310"/>
          <w:tab w:val="center" w:pos="4252"/>
        </w:tabs>
        <w:jc w:val="center"/>
        <w:rPr>
          <w:rFonts w:ascii="Century Gothic" w:hAnsi="Century Gothic"/>
          <w:b/>
          <w:sz w:val="18"/>
          <w:szCs w:val="18"/>
        </w:rPr>
      </w:pPr>
      <w:r>
        <w:rPr>
          <w:rFonts w:ascii="Century Gothic" w:hAnsi="Century Gothic"/>
          <w:b/>
          <w:sz w:val="18"/>
          <w:szCs w:val="18"/>
        </w:rPr>
        <w:t>Índice</w:t>
      </w:r>
    </w:p>
    <w:p w:rsidR="002673B6" w:rsidRDefault="002673B6" w:rsidP="00710B95">
      <w:pPr>
        <w:tabs>
          <w:tab w:val="left" w:pos="2310"/>
          <w:tab w:val="center" w:pos="4252"/>
        </w:tabs>
        <w:jc w:val="center"/>
        <w:rPr>
          <w:rFonts w:ascii="Euphemia" w:hAnsi="Euphemia"/>
          <w:b/>
          <w:sz w:val="24"/>
          <w:szCs w:val="24"/>
        </w:rPr>
      </w:pPr>
    </w:p>
    <w:p w:rsidR="006F0937" w:rsidRDefault="006F0937" w:rsidP="00710B95">
      <w:pPr>
        <w:tabs>
          <w:tab w:val="left" w:pos="2310"/>
          <w:tab w:val="center" w:pos="4252"/>
        </w:tabs>
        <w:jc w:val="center"/>
        <w:rPr>
          <w:rFonts w:ascii="Euphemia" w:hAnsi="Euphemia"/>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129"/>
      </w:tblGrid>
      <w:tr w:rsidR="00710B95" w:rsidRPr="00060AA1" w:rsidTr="002F20B0">
        <w:trPr>
          <w:jc w:val="center"/>
        </w:trPr>
        <w:tc>
          <w:tcPr>
            <w:tcW w:w="6799" w:type="dxa"/>
            <w:shd w:val="clear" w:color="auto" w:fill="auto"/>
          </w:tcPr>
          <w:p w:rsidR="006F0937" w:rsidRPr="00060AA1" w:rsidRDefault="00163B7D" w:rsidP="00163B7D">
            <w:pPr>
              <w:tabs>
                <w:tab w:val="left" w:pos="2310"/>
                <w:tab w:val="center" w:pos="4252"/>
              </w:tabs>
              <w:rPr>
                <w:rFonts w:ascii="Century Gothic" w:hAnsi="Century Gothic"/>
                <w:sz w:val="18"/>
                <w:szCs w:val="18"/>
              </w:rPr>
            </w:pPr>
            <w:r>
              <w:rPr>
                <w:rFonts w:ascii="Century Gothic" w:hAnsi="Century Gothic"/>
                <w:sz w:val="18"/>
                <w:szCs w:val="18"/>
              </w:rPr>
              <w:t xml:space="preserve">Relatório de Gestão </w:t>
            </w:r>
            <w:r w:rsidR="006D387E">
              <w:rPr>
                <w:rFonts w:ascii="Century Gothic" w:hAnsi="Century Gothic"/>
                <w:sz w:val="18"/>
                <w:szCs w:val="18"/>
              </w:rPr>
              <w:t>202</w:t>
            </w:r>
            <w:r w:rsidR="00CF31BE">
              <w:rPr>
                <w:rFonts w:ascii="Century Gothic" w:hAnsi="Century Gothic"/>
                <w:sz w:val="18"/>
                <w:szCs w:val="18"/>
              </w:rPr>
              <w:t>2</w:t>
            </w:r>
          </w:p>
        </w:tc>
        <w:tc>
          <w:tcPr>
            <w:tcW w:w="1129" w:type="dxa"/>
            <w:shd w:val="clear" w:color="auto" w:fill="auto"/>
          </w:tcPr>
          <w:p w:rsidR="006F0937" w:rsidRPr="00060AA1" w:rsidRDefault="00AF4F2E" w:rsidP="00FE4E60">
            <w:pPr>
              <w:tabs>
                <w:tab w:val="left" w:pos="2310"/>
                <w:tab w:val="center" w:pos="4252"/>
              </w:tabs>
              <w:jc w:val="center"/>
              <w:rPr>
                <w:rFonts w:ascii="Century Gothic" w:hAnsi="Century Gothic"/>
                <w:sz w:val="18"/>
                <w:szCs w:val="18"/>
              </w:rPr>
            </w:pPr>
            <w:r>
              <w:rPr>
                <w:rFonts w:ascii="Century Gothic" w:hAnsi="Century Gothic"/>
                <w:sz w:val="18"/>
                <w:szCs w:val="18"/>
              </w:rPr>
              <w:t>Pág.</w:t>
            </w:r>
          </w:p>
        </w:tc>
      </w:tr>
      <w:tr w:rsidR="007C7846" w:rsidRPr="00060AA1" w:rsidTr="002F20B0">
        <w:trPr>
          <w:jc w:val="center"/>
        </w:trPr>
        <w:tc>
          <w:tcPr>
            <w:tcW w:w="6799" w:type="dxa"/>
            <w:shd w:val="clear" w:color="auto" w:fill="auto"/>
          </w:tcPr>
          <w:p w:rsidR="007C7846" w:rsidRPr="00060AA1" w:rsidRDefault="007C7846" w:rsidP="00710B95">
            <w:pPr>
              <w:tabs>
                <w:tab w:val="left" w:pos="2310"/>
                <w:tab w:val="center" w:pos="4252"/>
              </w:tabs>
              <w:rPr>
                <w:rFonts w:ascii="Century Gothic" w:hAnsi="Century Gothic"/>
                <w:sz w:val="18"/>
                <w:szCs w:val="18"/>
              </w:rPr>
            </w:pPr>
          </w:p>
        </w:tc>
        <w:tc>
          <w:tcPr>
            <w:tcW w:w="1129" w:type="dxa"/>
            <w:shd w:val="clear" w:color="auto" w:fill="auto"/>
          </w:tcPr>
          <w:p w:rsidR="007C7846" w:rsidRPr="00060AA1" w:rsidRDefault="007C7846" w:rsidP="00710B95">
            <w:pPr>
              <w:tabs>
                <w:tab w:val="left" w:pos="2310"/>
                <w:tab w:val="center" w:pos="4252"/>
              </w:tabs>
              <w:jc w:val="center"/>
              <w:rPr>
                <w:rFonts w:ascii="Century Gothic" w:hAnsi="Century Gothic"/>
                <w:sz w:val="18"/>
                <w:szCs w:val="18"/>
              </w:rPr>
            </w:pPr>
          </w:p>
        </w:tc>
      </w:tr>
      <w:tr w:rsidR="007819ED" w:rsidRPr="00060AA1" w:rsidTr="002F20B0">
        <w:trPr>
          <w:jc w:val="center"/>
        </w:trPr>
        <w:tc>
          <w:tcPr>
            <w:tcW w:w="6799" w:type="dxa"/>
            <w:shd w:val="clear" w:color="auto" w:fill="auto"/>
          </w:tcPr>
          <w:p w:rsidR="007819ED" w:rsidRPr="00060AA1" w:rsidRDefault="00186C2F" w:rsidP="00FE4E60">
            <w:pPr>
              <w:rPr>
                <w:rFonts w:ascii="Century Gothic" w:hAnsi="Century Gothic"/>
                <w:sz w:val="18"/>
                <w:szCs w:val="18"/>
              </w:rPr>
            </w:pPr>
            <w:r>
              <w:rPr>
                <w:rFonts w:ascii="Century Gothic" w:hAnsi="Century Gothic"/>
                <w:sz w:val="18"/>
                <w:szCs w:val="18"/>
              </w:rPr>
              <w:t>1 - Introdução</w:t>
            </w:r>
          </w:p>
        </w:tc>
        <w:tc>
          <w:tcPr>
            <w:tcW w:w="1129" w:type="dxa"/>
            <w:shd w:val="clear" w:color="auto" w:fill="auto"/>
          </w:tcPr>
          <w:p w:rsidR="007819ED"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2</w:t>
            </w:r>
          </w:p>
        </w:tc>
      </w:tr>
      <w:tr w:rsidR="007819ED" w:rsidRPr="00060AA1" w:rsidTr="002F20B0">
        <w:trPr>
          <w:jc w:val="center"/>
        </w:trPr>
        <w:tc>
          <w:tcPr>
            <w:tcW w:w="6799" w:type="dxa"/>
            <w:shd w:val="clear" w:color="auto" w:fill="auto"/>
          </w:tcPr>
          <w:p w:rsidR="007819ED" w:rsidRPr="00060AA1" w:rsidRDefault="007819ED" w:rsidP="00710B95">
            <w:pPr>
              <w:tabs>
                <w:tab w:val="center" w:pos="142"/>
              </w:tabs>
              <w:rPr>
                <w:rFonts w:ascii="Century Gothic" w:hAnsi="Century Gothic"/>
                <w:sz w:val="18"/>
                <w:szCs w:val="18"/>
              </w:rPr>
            </w:pPr>
          </w:p>
        </w:tc>
        <w:tc>
          <w:tcPr>
            <w:tcW w:w="1129" w:type="dxa"/>
            <w:shd w:val="clear" w:color="auto" w:fill="auto"/>
          </w:tcPr>
          <w:p w:rsidR="007819ED" w:rsidRPr="00060AA1" w:rsidRDefault="007819ED" w:rsidP="00710B95">
            <w:pPr>
              <w:tabs>
                <w:tab w:val="left" w:pos="2310"/>
                <w:tab w:val="center" w:pos="4252"/>
              </w:tabs>
              <w:jc w:val="center"/>
              <w:rPr>
                <w:rFonts w:ascii="Century Gothic" w:hAnsi="Century Gothic"/>
                <w:sz w:val="18"/>
                <w:szCs w:val="18"/>
              </w:rPr>
            </w:pPr>
          </w:p>
        </w:tc>
      </w:tr>
      <w:tr w:rsidR="007819ED" w:rsidRPr="00060AA1" w:rsidTr="002F20B0">
        <w:trPr>
          <w:jc w:val="center"/>
        </w:trPr>
        <w:tc>
          <w:tcPr>
            <w:tcW w:w="6799" w:type="dxa"/>
            <w:shd w:val="clear" w:color="auto" w:fill="auto"/>
          </w:tcPr>
          <w:p w:rsidR="007819ED" w:rsidRPr="00060AA1" w:rsidRDefault="00186C2F" w:rsidP="00710B95">
            <w:pPr>
              <w:tabs>
                <w:tab w:val="left" w:pos="2310"/>
                <w:tab w:val="center" w:pos="4252"/>
              </w:tabs>
              <w:rPr>
                <w:rFonts w:ascii="Century Gothic" w:hAnsi="Century Gothic"/>
                <w:sz w:val="18"/>
                <w:szCs w:val="18"/>
              </w:rPr>
            </w:pPr>
            <w:r>
              <w:rPr>
                <w:rFonts w:ascii="Century Gothic" w:hAnsi="Century Gothic"/>
                <w:sz w:val="18"/>
                <w:szCs w:val="18"/>
              </w:rPr>
              <w:t>2 – Caracterização da entidade</w:t>
            </w:r>
          </w:p>
        </w:tc>
        <w:tc>
          <w:tcPr>
            <w:tcW w:w="1129" w:type="dxa"/>
            <w:shd w:val="clear" w:color="auto" w:fill="auto"/>
          </w:tcPr>
          <w:p w:rsidR="007819ED"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3</w:t>
            </w:r>
          </w:p>
        </w:tc>
      </w:tr>
      <w:tr w:rsidR="007819ED" w:rsidRPr="00060AA1" w:rsidTr="002F20B0">
        <w:trPr>
          <w:jc w:val="center"/>
        </w:trPr>
        <w:tc>
          <w:tcPr>
            <w:tcW w:w="6799" w:type="dxa"/>
            <w:shd w:val="clear" w:color="auto" w:fill="auto"/>
          </w:tcPr>
          <w:p w:rsidR="007819ED" w:rsidRPr="00060AA1" w:rsidRDefault="00067AD1" w:rsidP="00710B95">
            <w:pPr>
              <w:tabs>
                <w:tab w:val="left" w:pos="2310"/>
                <w:tab w:val="center" w:pos="4252"/>
              </w:tabs>
              <w:rPr>
                <w:rFonts w:ascii="Century Gothic" w:hAnsi="Century Gothic"/>
                <w:sz w:val="18"/>
                <w:szCs w:val="18"/>
              </w:rPr>
            </w:pPr>
            <w:r>
              <w:rPr>
                <w:rFonts w:ascii="Century Gothic" w:hAnsi="Century Gothic"/>
                <w:sz w:val="18"/>
                <w:szCs w:val="18"/>
              </w:rPr>
              <w:t>2.1 – Identificação</w:t>
            </w:r>
          </w:p>
        </w:tc>
        <w:tc>
          <w:tcPr>
            <w:tcW w:w="1129" w:type="dxa"/>
            <w:shd w:val="clear" w:color="auto" w:fill="auto"/>
          </w:tcPr>
          <w:p w:rsidR="007819ED"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3</w:t>
            </w:r>
          </w:p>
        </w:tc>
      </w:tr>
      <w:tr w:rsidR="007819ED" w:rsidRPr="00060AA1" w:rsidTr="002F20B0">
        <w:trPr>
          <w:jc w:val="center"/>
        </w:trPr>
        <w:tc>
          <w:tcPr>
            <w:tcW w:w="6799" w:type="dxa"/>
            <w:shd w:val="clear" w:color="auto" w:fill="auto"/>
          </w:tcPr>
          <w:p w:rsidR="007819ED" w:rsidRPr="00060AA1" w:rsidRDefault="00067AD1" w:rsidP="00710B95">
            <w:pPr>
              <w:tabs>
                <w:tab w:val="left" w:pos="2310"/>
                <w:tab w:val="center" w:pos="4252"/>
              </w:tabs>
              <w:rPr>
                <w:rFonts w:ascii="Century Gothic" w:hAnsi="Century Gothic"/>
                <w:sz w:val="18"/>
                <w:szCs w:val="18"/>
              </w:rPr>
            </w:pPr>
            <w:r>
              <w:rPr>
                <w:rFonts w:ascii="Century Gothic" w:hAnsi="Century Gothic"/>
                <w:sz w:val="18"/>
                <w:szCs w:val="18"/>
              </w:rPr>
              <w:t>2.2 – Legislação</w:t>
            </w:r>
          </w:p>
        </w:tc>
        <w:tc>
          <w:tcPr>
            <w:tcW w:w="1129" w:type="dxa"/>
            <w:shd w:val="clear" w:color="auto" w:fill="auto"/>
          </w:tcPr>
          <w:p w:rsidR="007819ED"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3</w:t>
            </w:r>
          </w:p>
        </w:tc>
      </w:tr>
      <w:tr w:rsidR="007819ED" w:rsidRPr="00060AA1" w:rsidTr="002F20B0">
        <w:trPr>
          <w:jc w:val="center"/>
        </w:trPr>
        <w:tc>
          <w:tcPr>
            <w:tcW w:w="6799" w:type="dxa"/>
            <w:shd w:val="clear" w:color="auto" w:fill="auto"/>
          </w:tcPr>
          <w:p w:rsidR="007819ED" w:rsidRPr="00060AA1" w:rsidRDefault="00067AD1" w:rsidP="00710B95">
            <w:pPr>
              <w:tabs>
                <w:tab w:val="left" w:pos="2310"/>
                <w:tab w:val="center" w:pos="4252"/>
              </w:tabs>
              <w:rPr>
                <w:rFonts w:ascii="Century Gothic" w:hAnsi="Century Gothic"/>
                <w:sz w:val="18"/>
                <w:szCs w:val="18"/>
              </w:rPr>
            </w:pPr>
            <w:r>
              <w:rPr>
                <w:rFonts w:ascii="Century Gothic" w:hAnsi="Century Gothic"/>
                <w:sz w:val="18"/>
                <w:szCs w:val="18"/>
              </w:rPr>
              <w:t>2.3 – Estrutura organizacional</w:t>
            </w:r>
          </w:p>
        </w:tc>
        <w:tc>
          <w:tcPr>
            <w:tcW w:w="1129" w:type="dxa"/>
            <w:shd w:val="clear" w:color="auto" w:fill="auto"/>
          </w:tcPr>
          <w:p w:rsidR="007819ED"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3</w:t>
            </w:r>
          </w:p>
        </w:tc>
      </w:tr>
      <w:tr w:rsidR="007C7846" w:rsidRPr="00060AA1" w:rsidTr="002F20B0">
        <w:trPr>
          <w:jc w:val="center"/>
        </w:trPr>
        <w:tc>
          <w:tcPr>
            <w:tcW w:w="6799" w:type="dxa"/>
            <w:shd w:val="clear" w:color="auto" w:fill="auto"/>
          </w:tcPr>
          <w:p w:rsidR="007C7846" w:rsidRDefault="00067AD1" w:rsidP="00710B95">
            <w:pPr>
              <w:tabs>
                <w:tab w:val="left" w:pos="2310"/>
                <w:tab w:val="center" w:pos="4252"/>
              </w:tabs>
              <w:rPr>
                <w:rFonts w:ascii="Century Gothic" w:hAnsi="Century Gothic"/>
                <w:sz w:val="18"/>
                <w:szCs w:val="18"/>
              </w:rPr>
            </w:pPr>
            <w:r>
              <w:rPr>
                <w:rFonts w:ascii="Century Gothic" w:hAnsi="Century Gothic"/>
                <w:sz w:val="18"/>
                <w:szCs w:val="18"/>
              </w:rPr>
              <w:t>2.4 – Atividade desenvolvida</w:t>
            </w:r>
          </w:p>
        </w:tc>
        <w:tc>
          <w:tcPr>
            <w:tcW w:w="1129" w:type="dxa"/>
            <w:shd w:val="clear" w:color="auto" w:fill="auto"/>
          </w:tcPr>
          <w:p w:rsidR="007C7846"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4</w:t>
            </w:r>
          </w:p>
        </w:tc>
      </w:tr>
      <w:tr w:rsidR="007819ED" w:rsidRPr="00060AA1" w:rsidTr="002F20B0">
        <w:trPr>
          <w:jc w:val="center"/>
        </w:trPr>
        <w:tc>
          <w:tcPr>
            <w:tcW w:w="6799" w:type="dxa"/>
            <w:shd w:val="clear" w:color="auto" w:fill="auto"/>
          </w:tcPr>
          <w:p w:rsidR="007819ED" w:rsidRPr="00060AA1" w:rsidRDefault="00067AD1" w:rsidP="00710B95">
            <w:pPr>
              <w:tabs>
                <w:tab w:val="left" w:pos="2310"/>
                <w:tab w:val="center" w:pos="4252"/>
              </w:tabs>
              <w:rPr>
                <w:rFonts w:ascii="Century Gothic" w:hAnsi="Century Gothic"/>
                <w:sz w:val="18"/>
                <w:szCs w:val="18"/>
              </w:rPr>
            </w:pPr>
            <w:r>
              <w:rPr>
                <w:rFonts w:ascii="Century Gothic" w:hAnsi="Century Gothic"/>
                <w:sz w:val="18"/>
                <w:szCs w:val="18"/>
              </w:rPr>
              <w:t>2.5 – Recursos humanos</w:t>
            </w:r>
          </w:p>
        </w:tc>
        <w:tc>
          <w:tcPr>
            <w:tcW w:w="1129" w:type="dxa"/>
            <w:shd w:val="clear" w:color="auto" w:fill="auto"/>
          </w:tcPr>
          <w:p w:rsidR="007819ED"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4</w:t>
            </w:r>
          </w:p>
        </w:tc>
      </w:tr>
      <w:tr w:rsidR="007819ED" w:rsidRPr="00060AA1" w:rsidTr="002F20B0">
        <w:trPr>
          <w:jc w:val="center"/>
        </w:trPr>
        <w:tc>
          <w:tcPr>
            <w:tcW w:w="6799" w:type="dxa"/>
            <w:shd w:val="clear" w:color="auto" w:fill="auto"/>
          </w:tcPr>
          <w:p w:rsidR="007819ED" w:rsidRPr="00060AA1" w:rsidRDefault="00067AD1" w:rsidP="00710B95">
            <w:pPr>
              <w:tabs>
                <w:tab w:val="left" w:pos="2310"/>
                <w:tab w:val="center" w:pos="4252"/>
              </w:tabs>
              <w:rPr>
                <w:rFonts w:ascii="Century Gothic" w:hAnsi="Century Gothic"/>
                <w:sz w:val="18"/>
                <w:szCs w:val="18"/>
              </w:rPr>
            </w:pPr>
            <w:r>
              <w:rPr>
                <w:rFonts w:ascii="Century Gothic" w:hAnsi="Century Gothic"/>
                <w:sz w:val="18"/>
                <w:szCs w:val="18"/>
              </w:rPr>
              <w:t>2.6 – Organização contabilística</w:t>
            </w:r>
          </w:p>
        </w:tc>
        <w:tc>
          <w:tcPr>
            <w:tcW w:w="1129" w:type="dxa"/>
            <w:shd w:val="clear" w:color="auto" w:fill="auto"/>
          </w:tcPr>
          <w:p w:rsidR="007819ED"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5</w:t>
            </w:r>
          </w:p>
        </w:tc>
      </w:tr>
      <w:tr w:rsidR="007819ED" w:rsidRPr="00060AA1" w:rsidTr="002F20B0">
        <w:trPr>
          <w:jc w:val="center"/>
        </w:trPr>
        <w:tc>
          <w:tcPr>
            <w:tcW w:w="6799" w:type="dxa"/>
            <w:shd w:val="clear" w:color="auto" w:fill="auto"/>
          </w:tcPr>
          <w:p w:rsidR="007819ED" w:rsidRPr="00060AA1" w:rsidRDefault="007819ED" w:rsidP="00710B95">
            <w:pPr>
              <w:tabs>
                <w:tab w:val="left" w:pos="2310"/>
                <w:tab w:val="center" w:pos="4252"/>
              </w:tabs>
              <w:rPr>
                <w:rFonts w:ascii="Century Gothic" w:hAnsi="Century Gothic"/>
                <w:sz w:val="18"/>
                <w:szCs w:val="18"/>
              </w:rPr>
            </w:pPr>
          </w:p>
        </w:tc>
        <w:tc>
          <w:tcPr>
            <w:tcW w:w="1129" w:type="dxa"/>
            <w:shd w:val="clear" w:color="auto" w:fill="auto"/>
          </w:tcPr>
          <w:p w:rsidR="007819ED" w:rsidRPr="00060AA1" w:rsidRDefault="007819ED" w:rsidP="00710B95">
            <w:pPr>
              <w:tabs>
                <w:tab w:val="left" w:pos="2310"/>
                <w:tab w:val="center" w:pos="4252"/>
              </w:tabs>
              <w:jc w:val="center"/>
              <w:rPr>
                <w:rFonts w:ascii="Century Gothic" w:hAnsi="Century Gothic"/>
                <w:sz w:val="18"/>
                <w:szCs w:val="18"/>
              </w:rPr>
            </w:pPr>
          </w:p>
        </w:tc>
      </w:tr>
      <w:tr w:rsidR="00065E0A" w:rsidRPr="00060AA1" w:rsidTr="002F20B0">
        <w:trPr>
          <w:jc w:val="center"/>
        </w:trPr>
        <w:tc>
          <w:tcPr>
            <w:tcW w:w="6799" w:type="dxa"/>
            <w:shd w:val="clear" w:color="auto" w:fill="auto"/>
          </w:tcPr>
          <w:p w:rsidR="00065E0A" w:rsidRDefault="00067AD1" w:rsidP="00710B95">
            <w:pPr>
              <w:tabs>
                <w:tab w:val="left" w:pos="2310"/>
                <w:tab w:val="center" w:pos="4252"/>
              </w:tabs>
              <w:rPr>
                <w:rFonts w:ascii="Century Gothic" w:hAnsi="Century Gothic"/>
                <w:sz w:val="18"/>
                <w:szCs w:val="18"/>
              </w:rPr>
            </w:pPr>
            <w:r>
              <w:rPr>
                <w:rFonts w:ascii="Century Gothic" w:hAnsi="Century Gothic"/>
                <w:sz w:val="18"/>
                <w:szCs w:val="18"/>
              </w:rPr>
              <w:t>3 – Demonstrações financeiras</w:t>
            </w:r>
          </w:p>
        </w:tc>
        <w:tc>
          <w:tcPr>
            <w:tcW w:w="1129" w:type="dxa"/>
            <w:shd w:val="clear" w:color="auto" w:fill="auto"/>
          </w:tcPr>
          <w:p w:rsidR="00065E0A"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6</w:t>
            </w:r>
          </w:p>
        </w:tc>
      </w:tr>
      <w:tr w:rsidR="007C7846" w:rsidRPr="00060AA1" w:rsidTr="002F20B0">
        <w:trPr>
          <w:jc w:val="center"/>
        </w:trPr>
        <w:tc>
          <w:tcPr>
            <w:tcW w:w="6799" w:type="dxa"/>
            <w:shd w:val="clear" w:color="auto" w:fill="auto"/>
          </w:tcPr>
          <w:p w:rsidR="007C7846" w:rsidRDefault="002A261A" w:rsidP="002A261A">
            <w:pPr>
              <w:tabs>
                <w:tab w:val="left" w:pos="2310"/>
                <w:tab w:val="center" w:pos="4252"/>
              </w:tabs>
              <w:rPr>
                <w:rFonts w:ascii="Century Gothic" w:hAnsi="Century Gothic"/>
                <w:sz w:val="18"/>
                <w:szCs w:val="18"/>
              </w:rPr>
            </w:pPr>
            <w:r>
              <w:rPr>
                <w:rFonts w:ascii="Century Gothic" w:hAnsi="Century Gothic"/>
                <w:sz w:val="18"/>
                <w:szCs w:val="18"/>
              </w:rPr>
              <w:t xml:space="preserve">3.1 – Balanço </w:t>
            </w:r>
          </w:p>
        </w:tc>
        <w:tc>
          <w:tcPr>
            <w:tcW w:w="1129" w:type="dxa"/>
            <w:shd w:val="clear" w:color="auto" w:fill="auto"/>
          </w:tcPr>
          <w:p w:rsidR="007C7846"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7</w:t>
            </w:r>
          </w:p>
        </w:tc>
      </w:tr>
      <w:tr w:rsidR="002A261A" w:rsidRPr="00060AA1" w:rsidTr="002F20B0">
        <w:trPr>
          <w:jc w:val="center"/>
        </w:trPr>
        <w:tc>
          <w:tcPr>
            <w:tcW w:w="6799" w:type="dxa"/>
            <w:shd w:val="clear" w:color="auto" w:fill="auto"/>
          </w:tcPr>
          <w:p w:rsidR="002A261A" w:rsidRDefault="002A261A" w:rsidP="00710B95">
            <w:pPr>
              <w:tabs>
                <w:tab w:val="left" w:pos="2310"/>
                <w:tab w:val="center" w:pos="4252"/>
              </w:tabs>
              <w:rPr>
                <w:rFonts w:ascii="Century Gothic" w:hAnsi="Century Gothic"/>
                <w:sz w:val="18"/>
                <w:szCs w:val="18"/>
              </w:rPr>
            </w:pPr>
            <w:r>
              <w:rPr>
                <w:rFonts w:ascii="Century Gothic" w:hAnsi="Century Gothic"/>
                <w:sz w:val="18"/>
                <w:szCs w:val="18"/>
              </w:rPr>
              <w:t>3.2 – Demonstração dos resultados por natureza</w:t>
            </w:r>
          </w:p>
        </w:tc>
        <w:tc>
          <w:tcPr>
            <w:tcW w:w="1129" w:type="dxa"/>
            <w:shd w:val="clear" w:color="auto" w:fill="auto"/>
          </w:tcPr>
          <w:p w:rsidR="002A261A"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8</w:t>
            </w:r>
          </w:p>
        </w:tc>
      </w:tr>
      <w:tr w:rsidR="002A261A" w:rsidRPr="00060AA1" w:rsidTr="002F20B0">
        <w:trPr>
          <w:jc w:val="center"/>
        </w:trPr>
        <w:tc>
          <w:tcPr>
            <w:tcW w:w="6799" w:type="dxa"/>
            <w:shd w:val="clear" w:color="auto" w:fill="auto"/>
          </w:tcPr>
          <w:p w:rsidR="002A261A" w:rsidRDefault="002A261A" w:rsidP="00710B95">
            <w:pPr>
              <w:tabs>
                <w:tab w:val="left" w:pos="2310"/>
                <w:tab w:val="center" w:pos="4252"/>
              </w:tabs>
              <w:rPr>
                <w:rFonts w:ascii="Century Gothic" w:hAnsi="Century Gothic"/>
                <w:sz w:val="18"/>
                <w:szCs w:val="18"/>
              </w:rPr>
            </w:pPr>
            <w:r>
              <w:rPr>
                <w:rFonts w:ascii="Century Gothic" w:hAnsi="Century Gothic"/>
                <w:sz w:val="18"/>
                <w:szCs w:val="18"/>
              </w:rPr>
              <w:t>3.3 – Demonstração das alterações ao património líquido</w:t>
            </w:r>
          </w:p>
        </w:tc>
        <w:tc>
          <w:tcPr>
            <w:tcW w:w="1129" w:type="dxa"/>
            <w:shd w:val="clear" w:color="auto" w:fill="auto"/>
          </w:tcPr>
          <w:p w:rsidR="002A261A"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9</w:t>
            </w:r>
          </w:p>
        </w:tc>
      </w:tr>
      <w:tr w:rsidR="002A261A" w:rsidRPr="00060AA1" w:rsidTr="002F20B0">
        <w:trPr>
          <w:jc w:val="center"/>
        </w:trPr>
        <w:tc>
          <w:tcPr>
            <w:tcW w:w="6799" w:type="dxa"/>
            <w:shd w:val="clear" w:color="auto" w:fill="auto"/>
          </w:tcPr>
          <w:p w:rsidR="002A261A" w:rsidRDefault="002A261A" w:rsidP="00710B95">
            <w:pPr>
              <w:tabs>
                <w:tab w:val="left" w:pos="2310"/>
                <w:tab w:val="center" w:pos="4252"/>
              </w:tabs>
              <w:rPr>
                <w:rFonts w:ascii="Century Gothic" w:hAnsi="Century Gothic"/>
                <w:sz w:val="18"/>
                <w:szCs w:val="18"/>
              </w:rPr>
            </w:pPr>
            <w:r>
              <w:rPr>
                <w:rFonts w:ascii="Century Gothic" w:hAnsi="Century Gothic"/>
                <w:sz w:val="18"/>
                <w:szCs w:val="18"/>
              </w:rPr>
              <w:t>3.4 – Demonstração de fluxos de caixa</w:t>
            </w:r>
          </w:p>
        </w:tc>
        <w:tc>
          <w:tcPr>
            <w:tcW w:w="1129" w:type="dxa"/>
            <w:shd w:val="clear" w:color="auto" w:fill="auto"/>
          </w:tcPr>
          <w:p w:rsidR="002A261A" w:rsidRPr="00060AA1" w:rsidRDefault="0055364A" w:rsidP="00710B95">
            <w:pPr>
              <w:tabs>
                <w:tab w:val="left" w:pos="2310"/>
                <w:tab w:val="center" w:pos="4252"/>
              </w:tabs>
              <w:jc w:val="center"/>
              <w:rPr>
                <w:rFonts w:ascii="Century Gothic" w:hAnsi="Century Gothic"/>
                <w:sz w:val="18"/>
                <w:szCs w:val="18"/>
              </w:rPr>
            </w:pPr>
            <w:r>
              <w:rPr>
                <w:rFonts w:ascii="Century Gothic" w:hAnsi="Century Gothic"/>
                <w:sz w:val="18"/>
                <w:szCs w:val="18"/>
              </w:rPr>
              <w:t>9</w:t>
            </w:r>
          </w:p>
        </w:tc>
      </w:tr>
      <w:tr w:rsidR="002A261A" w:rsidRPr="00060AA1" w:rsidTr="002F20B0">
        <w:trPr>
          <w:jc w:val="center"/>
        </w:trPr>
        <w:tc>
          <w:tcPr>
            <w:tcW w:w="6799" w:type="dxa"/>
            <w:shd w:val="clear" w:color="auto" w:fill="auto"/>
          </w:tcPr>
          <w:p w:rsidR="002A261A" w:rsidRDefault="002A261A" w:rsidP="00710B95">
            <w:pPr>
              <w:tabs>
                <w:tab w:val="left" w:pos="2310"/>
                <w:tab w:val="center" w:pos="4252"/>
              </w:tabs>
              <w:rPr>
                <w:rFonts w:ascii="Century Gothic" w:hAnsi="Century Gothic"/>
                <w:sz w:val="18"/>
                <w:szCs w:val="18"/>
              </w:rPr>
            </w:pPr>
          </w:p>
        </w:tc>
        <w:tc>
          <w:tcPr>
            <w:tcW w:w="1129" w:type="dxa"/>
            <w:shd w:val="clear" w:color="auto" w:fill="auto"/>
          </w:tcPr>
          <w:p w:rsidR="002A261A" w:rsidRPr="00060AA1" w:rsidRDefault="002A261A" w:rsidP="00710B95">
            <w:pPr>
              <w:tabs>
                <w:tab w:val="left" w:pos="2310"/>
                <w:tab w:val="center" w:pos="4252"/>
              </w:tabs>
              <w:jc w:val="center"/>
              <w:rPr>
                <w:rFonts w:ascii="Century Gothic" w:hAnsi="Century Gothic"/>
                <w:sz w:val="18"/>
                <w:szCs w:val="18"/>
              </w:rPr>
            </w:pPr>
          </w:p>
        </w:tc>
      </w:tr>
      <w:tr w:rsidR="00B67D94" w:rsidRPr="00060AA1" w:rsidTr="002F20B0">
        <w:trPr>
          <w:jc w:val="center"/>
        </w:trPr>
        <w:tc>
          <w:tcPr>
            <w:tcW w:w="6799" w:type="dxa"/>
            <w:shd w:val="clear" w:color="auto" w:fill="auto"/>
          </w:tcPr>
          <w:p w:rsidR="00B67D94" w:rsidRDefault="00B67D94" w:rsidP="00710B95">
            <w:pPr>
              <w:tabs>
                <w:tab w:val="left" w:pos="2310"/>
                <w:tab w:val="center" w:pos="4252"/>
              </w:tabs>
              <w:rPr>
                <w:rFonts w:ascii="Century Gothic" w:hAnsi="Century Gothic"/>
                <w:sz w:val="18"/>
                <w:szCs w:val="18"/>
              </w:rPr>
            </w:pPr>
            <w:r>
              <w:rPr>
                <w:rFonts w:ascii="Century Gothic" w:hAnsi="Century Gothic"/>
                <w:sz w:val="18"/>
                <w:szCs w:val="18"/>
              </w:rPr>
              <w:t>4 – Anexos às demonstrações financeiras</w:t>
            </w:r>
          </w:p>
        </w:tc>
        <w:tc>
          <w:tcPr>
            <w:tcW w:w="1129" w:type="dxa"/>
            <w:shd w:val="clear" w:color="auto" w:fill="auto"/>
          </w:tcPr>
          <w:p w:rsidR="00B67D94" w:rsidRPr="00060AA1" w:rsidRDefault="00B67D94" w:rsidP="00710B95">
            <w:pPr>
              <w:tabs>
                <w:tab w:val="left" w:pos="2310"/>
                <w:tab w:val="center" w:pos="4252"/>
              </w:tabs>
              <w:jc w:val="center"/>
              <w:rPr>
                <w:rFonts w:ascii="Century Gothic" w:hAnsi="Century Gothic"/>
                <w:sz w:val="18"/>
                <w:szCs w:val="18"/>
              </w:rPr>
            </w:pPr>
          </w:p>
        </w:tc>
      </w:tr>
      <w:tr w:rsidR="00B67D94" w:rsidRPr="00060AA1" w:rsidTr="002F20B0">
        <w:trPr>
          <w:jc w:val="center"/>
        </w:trPr>
        <w:tc>
          <w:tcPr>
            <w:tcW w:w="6799" w:type="dxa"/>
            <w:shd w:val="clear" w:color="auto" w:fill="auto"/>
          </w:tcPr>
          <w:p w:rsidR="00B67D94" w:rsidRDefault="00916B97" w:rsidP="00710B95">
            <w:pPr>
              <w:tabs>
                <w:tab w:val="left" w:pos="2310"/>
                <w:tab w:val="center" w:pos="4252"/>
              </w:tabs>
              <w:rPr>
                <w:rFonts w:ascii="Century Gothic" w:hAnsi="Century Gothic"/>
                <w:sz w:val="18"/>
                <w:szCs w:val="18"/>
              </w:rPr>
            </w:pPr>
            <w:r>
              <w:rPr>
                <w:rFonts w:ascii="Century Gothic" w:hAnsi="Century Gothic"/>
                <w:sz w:val="18"/>
                <w:szCs w:val="18"/>
              </w:rPr>
              <w:t>4.1</w:t>
            </w:r>
            <w:r w:rsidR="00B67D94">
              <w:rPr>
                <w:rFonts w:ascii="Century Gothic" w:hAnsi="Century Gothic"/>
                <w:sz w:val="18"/>
                <w:szCs w:val="18"/>
              </w:rPr>
              <w:t xml:space="preserve"> – Identificação da entidade, período de relato e referencial contabilístico</w:t>
            </w:r>
          </w:p>
        </w:tc>
        <w:tc>
          <w:tcPr>
            <w:tcW w:w="1129" w:type="dxa"/>
            <w:shd w:val="clear" w:color="auto" w:fill="auto"/>
          </w:tcPr>
          <w:p w:rsidR="00AF4F2E" w:rsidRDefault="00AF4F2E" w:rsidP="00710B95">
            <w:pPr>
              <w:tabs>
                <w:tab w:val="left" w:pos="2310"/>
                <w:tab w:val="center" w:pos="4252"/>
              </w:tabs>
              <w:jc w:val="center"/>
              <w:rPr>
                <w:rFonts w:ascii="Century Gothic" w:hAnsi="Century Gothic"/>
                <w:sz w:val="18"/>
                <w:szCs w:val="18"/>
              </w:rPr>
            </w:pPr>
          </w:p>
          <w:p w:rsidR="00B67D94"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10</w:t>
            </w:r>
          </w:p>
        </w:tc>
      </w:tr>
      <w:tr w:rsidR="00B67D94" w:rsidRPr="00060AA1" w:rsidTr="002F20B0">
        <w:trPr>
          <w:jc w:val="center"/>
        </w:trPr>
        <w:tc>
          <w:tcPr>
            <w:tcW w:w="6799" w:type="dxa"/>
            <w:shd w:val="clear" w:color="auto" w:fill="auto"/>
          </w:tcPr>
          <w:p w:rsidR="00B67D94" w:rsidRDefault="00916B97" w:rsidP="00710B95">
            <w:pPr>
              <w:tabs>
                <w:tab w:val="left" w:pos="2310"/>
                <w:tab w:val="center" w:pos="4252"/>
              </w:tabs>
              <w:rPr>
                <w:rFonts w:ascii="Century Gothic" w:hAnsi="Century Gothic"/>
                <w:sz w:val="18"/>
                <w:szCs w:val="18"/>
              </w:rPr>
            </w:pPr>
            <w:r>
              <w:rPr>
                <w:rFonts w:ascii="Century Gothic" w:hAnsi="Century Gothic"/>
                <w:sz w:val="18"/>
                <w:szCs w:val="18"/>
              </w:rPr>
              <w:t>4.2</w:t>
            </w:r>
            <w:r w:rsidR="00B67D94">
              <w:rPr>
                <w:rFonts w:ascii="Century Gothic" w:hAnsi="Century Gothic"/>
                <w:sz w:val="18"/>
                <w:szCs w:val="18"/>
              </w:rPr>
              <w:t xml:space="preserve"> – Principais políticas contabilísticas, alterações nas estimativas contabilísticas e erros</w:t>
            </w:r>
            <w:r w:rsidR="007244EB">
              <w:rPr>
                <w:rFonts w:ascii="Century Gothic" w:hAnsi="Century Gothic"/>
                <w:sz w:val="18"/>
                <w:szCs w:val="18"/>
              </w:rPr>
              <w:t xml:space="preserve"> (Nota 2)</w:t>
            </w:r>
          </w:p>
        </w:tc>
        <w:tc>
          <w:tcPr>
            <w:tcW w:w="1129" w:type="dxa"/>
            <w:shd w:val="clear" w:color="auto" w:fill="auto"/>
          </w:tcPr>
          <w:p w:rsidR="00B67D94" w:rsidRDefault="00B67D94" w:rsidP="00710B95">
            <w:pPr>
              <w:tabs>
                <w:tab w:val="left" w:pos="2310"/>
                <w:tab w:val="center" w:pos="4252"/>
              </w:tabs>
              <w:jc w:val="center"/>
              <w:rPr>
                <w:rFonts w:ascii="Century Gothic" w:hAnsi="Century Gothic"/>
                <w:sz w:val="18"/>
                <w:szCs w:val="18"/>
              </w:rPr>
            </w:pPr>
          </w:p>
          <w:p w:rsidR="00AF4F2E"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11</w:t>
            </w:r>
          </w:p>
        </w:tc>
      </w:tr>
      <w:tr w:rsidR="00F518BC" w:rsidRPr="00060AA1" w:rsidTr="002F20B0">
        <w:trPr>
          <w:jc w:val="center"/>
        </w:trPr>
        <w:tc>
          <w:tcPr>
            <w:tcW w:w="6799" w:type="dxa"/>
            <w:shd w:val="clear" w:color="auto" w:fill="auto"/>
          </w:tcPr>
          <w:p w:rsidR="00F518BC" w:rsidRDefault="00916B97" w:rsidP="00710B95">
            <w:pPr>
              <w:tabs>
                <w:tab w:val="left" w:pos="2310"/>
                <w:tab w:val="center" w:pos="4252"/>
              </w:tabs>
              <w:rPr>
                <w:rFonts w:ascii="Century Gothic" w:hAnsi="Century Gothic"/>
                <w:sz w:val="18"/>
                <w:szCs w:val="18"/>
              </w:rPr>
            </w:pPr>
            <w:r>
              <w:rPr>
                <w:rFonts w:ascii="Century Gothic" w:hAnsi="Century Gothic"/>
                <w:sz w:val="18"/>
                <w:szCs w:val="18"/>
              </w:rPr>
              <w:t>4.3</w:t>
            </w:r>
            <w:r w:rsidR="00F518BC">
              <w:rPr>
                <w:rFonts w:ascii="Century Gothic" w:hAnsi="Century Gothic"/>
                <w:sz w:val="18"/>
                <w:szCs w:val="18"/>
              </w:rPr>
              <w:t xml:space="preserve"> – Ativos intangíveis – quantia escriturada e variações no período </w:t>
            </w:r>
          </w:p>
        </w:tc>
        <w:tc>
          <w:tcPr>
            <w:tcW w:w="1129" w:type="dxa"/>
            <w:shd w:val="clear" w:color="auto" w:fill="auto"/>
          </w:tcPr>
          <w:p w:rsidR="00F518BC"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12</w:t>
            </w:r>
          </w:p>
        </w:tc>
      </w:tr>
      <w:tr w:rsidR="00F518BC" w:rsidRPr="00060AA1" w:rsidTr="002F20B0">
        <w:trPr>
          <w:jc w:val="center"/>
        </w:trPr>
        <w:tc>
          <w:tcPr>
            <w:tcW w:w="6799" w:type="dxa"/>
            <w:shd w:val="clear" w:color="auto" w:fill="auto"/>
          </w:tcPr>
          <w:p w:rsidR="00F518BC" w:rsidRDefault="00916B97" w:rsidP="00710B95">
            <w:pPr>
              <w:tabs>
                <w:tab w:val="left" w:pos="2310"/>
                <w:tab w:val="center" w:pos="4252"/>
              </w:tabs>
              <w:rPr>
                <w:rFonts w:ascii="Century Gothic" w:hAnsi="Century Gothic"/>
                <w:sz w:val="18"/>
                <w:szCs w:val="18"/>
              </w:rPr>
            </w:pPr>
            <w:r>
              <w:rPr>
                <w:rFonts w:ascii="Century Gothic" w:hAnsi="Century Gothic"/>
                <w:sz w:val="18"/>
                <w:szCs w:val="18"/>
              </w:rPr>
              <w:t>4.4</w:t>
            </w:r>
            <w:r w:rsidR="00F518BC">
              <w:rPr>
                <w:rFonts w:ascii="Century Gothic" w:hAnsi="Century Gothic"/>
                <w:sz w:val="18"/>
                <w:szCs w:val="18"/>
              </w:rPr>
              <w:t xml:space="preserve"> – Ativos intangíveis – desagregação das adições</w:t>
            </w:r>
          </w:p>
        </w:tc>
        <w:tc>
          <w:tcPr>
            <w:tcW w:w="1129" w:type="dxa"/>
            <w:shd w:val="clear" w:color="auto" w:fill="auto"/>
          </w:tcPr>
          <w:p w:rsidR="00F518BC"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13</w:t>
            </w:r>
          </w:p>
        </w:tc>
      </w:tr>
      <w:tr w:rsidR="00F518BC" w:rsidRPr="00060AA1" w:rsidTr="002F20B0">
        <w:trPr>
          <w:jc w:val="center"/>
        </w:trPr>
        <w:tc>
          <w:tcPr>
            <w:tcW w:w="6799" w:type="dxa"/>
            <w:shd w:val="clear" w:color="auto" w:fill="auto"/>
          </w:tcPr>
          <w:p w:rsidR="00F518BC" w:rsidRDefault="00916B97" w:rsidP="00710B95">
            <w:pPr>
              <w:tabs>
                <w:tab w:val="left" w:pos="2310"/>
                <w:tab w:val="center" w:pos="4252"/>
              </w:tabs>
              <w:rPr>
                <w:rFonts w:ascii="Century Gothic" w:hAnsi="Century Gothic"/>
                <w:sz w:val="18"/>
                <w:szCs w:val="18"/>
              </w:rPr>
            </w:pPr>
            <w:r>
              <w:rPr>
                <w:rFonts w:ascii="Century Gothic" w:hAnsi="Century Gothic"/>
                <w:sz w:val="18"/>
                <w:szCs w:val="18"/>
              </w:rPr>
              <w:t>4.5</w:t>
            </w:r>
            <w:r w:rsidR="00F518BC">
              <w:rPr>
                <w:rFonts w:ascii="Century Gothic" w:hAnsi="Century Gothic"/>
                <w:sz w:val="18"/>
                <w:szCs w:val="18"/>
              </w:rPr>
              <w:t xml:space="preserve"> – Ativos intangíveis – desagregação das diminuições</w:t>
            </w:r>
          </w:p>
        </w:tc>
        <w:tc>
          <w:tcPr>
            <w:tcW w:w="1129" w:type="dxa"/>
            <w:shd w:val="clear" w:color="auto" w:fill="auto"/>
          </w:tcPr>
          <w:p w:rsidR="00F518BC"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13</w:t>
            </w:r>
          </w:p>
        </w:tc>
      </w:tr>
      <w:tr w:rsidR="00B67D94" w:rsidRPr="00060AA1" w:rsidTr="002F20B0">
        <w:trPr>
          <w:jc w:val="center"/>
        </w:trPr>
        <w:tc>
          <w:tcPr>
            <w:tcW w:w="6799" w:type="dxa"/>
            <w:shd w:val="clear" w:color="auto" w:fill="auto"/>
          </w:tcPr>
          <w:p w:rsidR="00B67D94" w:rsidRDefault="00C52F2D" w:rsidP="00916B97">
            <w:pPr>
              <w:tabs>
                <w:tab w:val="left" w:pos="2310"/>
                <w:tab w:val="center" w:pos="4252"/>
              </w:tabs>
              <w:rPr>
                <w:rFonts w:ascii="Century Gothic" w:hAnsi="Century Gothic"/>
                <w:sz w:val="18"/>
                <w:szCs w:val="18"/>
              </w:rPr>
            </w:pPr>
            <w:r>
              <w:rPr>
                <w:rFonts w:ascii="Century Gothic" w:hAnsi="Century Gothic"/>
                <w:sz w:val="18"/>
                <w:szCs w:val="18"/>
              </w:rPr>
              <w:t>4.</w:t>
            </w:r>
            <w:r w:rsidR="00916B97">
              <w:rPr>
                <w:rFonts w:ascii="Century Gothic" w:hAnsi="Century Gothic"/>
                <w:sz w:val="18"/>
                <w:szCs w:val="18"/>
              </w:rPr>
              <w:t>6</w:t>
            </w:r>
            <w:r w:rsidR="00B67D94">
              <w:rPr>
                <w:rFonts w:ascii="Century Gothic" w:hAnsi="Century Gothic"/>
                <w:sz w:val="18"/>
                <w:szCs w:val="18"/>
              </w:rPr>
              <w:t xml:space="preserve"> – Ativos fixos tangíveis</w:t>
            </w:r>
            <w:r>
              <w:rPr>
                <w:rFonts w:ascii="Century Gothic" w:hAnsi="Century Gothic"/>
                <w:sz w:val="18"/>
                <w:szCs w:val="18"/>
              </w:rPr>
              <w:t xml:space="preserve"> – quantia escriturada e variações no período</w:t>
            </w:r>
          </w:p>
        </w:tc>
        <w:tc>
          <w:tcPr>
            <w:tcW w:w="1129" w:type="dxa"/>
            <w:shd w:val="clear" w:color="auto" w:fill="auto"/>
          </w:tcPr>
          <w:p w:rsidR="00B67D94"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14</w:t>
            </w:r>
          </w:p>
        </w:tc>
      </w:tr>
      <w:tr w:rsidR="00C52F2D" w:rsidRPr="00060AA1" w:rsidTr="002F20B0">
        <w:trPr>
          <w:jc w:val="center"/>
        </w:trPr>
        <w:tc>
          <w:tcPr>
            <w:tcW w:w="6799" w:type="dxa"/>
            <w:shd w:val="clear" w:color="auto" w:fill="auto"/>
          </w:tcPr>
          <w:p w:rsidR="00C52F2D" w:rsidRDefault="00916B97" w:rsidP="00C52F2D">
            <w:pPr>
              <w:tabs>
                <w:tab w:val="left" w:pos="2310"/>
                <w:tab w:val="center" w:pos="4252"/>
              </w:tabs>
              <w:rPr>
                <w:rFonts w:ascii="Century Gothic" w:hAnsi="Century Gothic"/>
                <w:sz w:val="18"/>
                <w:szCs w:val="18"/>
              </w:rPr>
            </w:pPr>
            <w:r>
              <w:rPr>
                <w:rFonts w:ascii="Century Gothic" w:hAnsi="Century Gothic"/>
                <w:sz w:val="18"/>
                <w:szCs w:val="18"/>
              </w:rPr>
              <w:t>4.7</w:t>
            </w:r>
            <w:r w:rsidR="00C52F2D">
              <w:rPr>
                <w:rFonts w:ascii="Century Gothic" w:hAnsi="Century Gothic"/>
                <w:sz w:val="18"/>
                <w:szCs w:val="18"/>
              </w:rPr>
              <w:t xml:space="preserve"> – Ativos fixos tangíveis – desagregação das adições</w:t>
            </w:r>
          </w:p>
        </w:tc>
        <w:tc>
          <w:tcPr>
            <w:tcW w:w="1129" w:type="dxa"/>
            <w:shd w:val="clear" w:color="auto" w:fill="auto"/>
          </w:tcPr>
          <w:p w:rsidR="00C52F2D"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15</w:t>
            </w:r>
          </w:p>
        </w:tc>
      </w:tr>
      <w:tr w:rsidR="00C52F2D" w:rsidRPr="00060AA1" w:rsidTr="002F20B0">
        <w:trPr>
          <w:jc w:val="center"/>
        </w:trPr>
        <w:tc>
          <w:tcPr>
            <w:tcW w:w="6799" w:type="dxa"/>
            <w:shd w:val="clear" w:color="auto" w:fill="auto"/>
          </w:tcPr>
          <w:p w:rsidR="00C52F2D" w:rsidRDefault="00916B97" w:rsidP="00C52F2D">
            <w:pPr>
              <w:tabs>
                <w:tab w:val="left" w:pos="2310"/>
                <w:tab w:val="center" w:pos="4252"/>
              </w:tabs>
              <w:rPr>
                <w:rFonts w:ascii="Century Gothic" w:hAnsi="Century Gothic"/>
                <w:sz w:val="18"/>
                <w:szCs w:val="18"/>
              </w:rPr>
            </w:pPr>
            <w:r>
              <w:rPr>
                <w:rFonts w:ascii="Century Gothic" w:hAnsi="Century Gothic"/>
                <w:sz w:val="18"/>
                <w:szCs w:val="18"/>
              </w:rPr>
              <w:t>4.8</w:t>
            </w:r>
            <w:r w:rsidR="00C52F2D">
              <w:rPr>
                <w:rFonts w:ascii="Century Gothic" w:hAnsi="Century Gothic"/>
                <w:sz w:val="18"/>
                <w:szCs w:val="18"/>
              </w:rPr>
              <w:t xml:space="preserve"> – Ativos fixos tangíveis - desagregação das diminuições</w:t>
            </w:r>
          </w:p>
        </w:tc>
        <w:tc>
          <w:tcPr>
            <w:tcW w:w="1129" w:type="dxa"/>
            <w:shd w:val="clear" w:color="auto" w:fill="auto"/>
          </w:tcPr>
          <w:p w:rsidR="00C52F2D"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16</w:t>
            </w:r>
          </w:p>
        </w:tc>
      </w:tr>
      <w:tr w:rsidR="00B67D94" w:rsidRPr="00060AA1" w:rsidTr="002F20B0">
        <w:trPr>
          <w:jc w:val="center"/>
        </w:trPr>
        <w:tc>
          <w:tcPr>
            <w:tcW w:w="6799" w:type="dxa"/>
            <w:shd w:val="clear" w:color="auto" w:fill="auto"/>
          </w:tcPr>
          <w:p w:rsidR="00B67D94" w:rsidRDefault="00C52F2D" w:rsidP="00710B95">
            <w:pPr>
              <w:tabs>
                <w:tab w:val="left" w:pos="2310"/>
                <w:tab w:val="center" w:pos="4252"/>
              </w:tabs>
              <w:rPr>
                <w:rFonts w:ascii="Century Gothic" w:hAnsi="Century Gothic"/>
                <w:sz w:val="18"/>
                <w:szCs w:val="18"/>
              </w:rPr>
            </w:pPr>
            <w:r>
              <w:rPr>
                <w:rFonts w:ascii="Century Gothic" w:hAnsi="Century Gothic"/>
                <w:sz w:val="18"/>
                <w:szCs w:val="18"/>
              </w:rPr>
              <w:t>4</w:t>
            </w:r>
            <w:r w:rsidR="00916B97">
              <w:rPr>
                <w:rFonts w:ascii="Century Gothic" w:hAnsi="Century Gothic"/>
                <w:sz w:val="18"/>
                <w:szCs w:val="18"/>
              </w:rPr>
              <w:t>.9</w:t>
            </w:r>
            <w:r w:rsidR="006A17C9">
              <w:rPr>
                <w:rFonts w:ascii="Century Gothic" w:hAnsi="Century Gothic"/>
                <w:sz w:val="18"/>
                <w:szCs w:val="18"/>
              </w:rPr>
              <w:t xml:space="preserve"> – Outras divulgações</w:t>
            </w:r>
          </w:p>
        </w:tc>
        <w:tc>
          <w:tcPr>
            <w:tcW w:w="1129" w:type="dxa"/>
            <w:shd w:val="clear" w:color="auto" w:fill="auto"/>
          </w:tcPr>
          <w:p w:rsidR="00B67D94"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16</w:t>
            </w:r>
          </w:p>
        </w:tc>
      </w:tr>
      <w:tr w:rsidR="00B67D94" w:rsidRPr="00060AA1" w:rsidTr="002F20B0">
        <w:trPr>
          <w:jc w:val="center"/>
        </w:trPr>
        <w:tc>
          <w:tcPr>
            <w:tcW w:w="6799" w:type="dxa"/>
            <w:shd w:val="clear" w:color="auto" w:fill="auto"/>
          </w:tcPr>
          <w:p w:rsidR="00B67D94" w:rsidRDefault="00B67D94" w:rsidP="00710B95">
            <w:pPr>
              <w:tabs>
                <w:tab w:val="left" w:pos="2310"/>
                <w:tab w:val="center" w:pos="4252"/>
              </w:tabs>
              <w:rPr>
                <w:rFonts w:ascii="Century Gothic" w:hAnsi="Century Gothic"/>
                <w:sz w:val="18"/>
                <w:szCs w:val="18"/>
              </w:rPr>
            </w:pPr>
          </w:p>
        </w:tc>
        <w:tc>
          <w:tcPr>
            <w:tcW w:w="1129" w:type="dxa"/>
            <w:shd w:val="clear" w:color="auto" w:fill="auto"/>
          </w:tcPr>
          <w:p w:rsidR="00B67D94" w:rsidRPr="00060AA1" w:rsidRDefault="00B67D94" w:rsidP="00710B95">
            <w:pPr>
              <w:tabs>
                <w:tab w:val="left" w:pos="2310"/>
                <w:tab w:val="center" w:pos="4252"/>
              </w:tabs>
              <w:jc w:val="center"/>
              <w:rPr>
                <w:rFonts w:ascii="Century Gothic" w:hAnsi="Century Gothic"/>
                <w:sz w:val="18"/>
                <w:szCs w:val="18"/>
              </w:rPr>
            </w:pPr>
          </w:p>
        </w:tc>
      </w:tr>
      <w:tr w:rsidR="00065E0A" w:rsidRPr="00060AA1" w:rsidTr="002F20B0">
        <w:trPr>
          <w:jc w:val="center"/>
        </w:trPr>
        <w:tc>
          <w:tcPr>
            <w:tcW w:w="6799" w:type="dxa"/>
            <w:shd w:val="clear" w:color="auto" w:fill="auto"/>
          </w:tcPr>
          <w:p w:rsidR="00065E0A" w:rsidRDefault="00751073" w:rsidP="00710B95">
            <w:pPr>
              <w:tabs>
                <w:tab w:val="left" w:pos="2310"/>
                <w:tab w:val="center" w:pos="4252"/>
              </w:tabs>
              <w:rPr>
                <w:rFonts w:ascii="Century Gothic" w:hAnsi="Century Gothic"/>
                <w:sz w:val="18"/>
                <w:szCs w:val="18"/>
              </w:rPr>
            </w:pPr>
            <w:r>
              <w:rPr>
                <w:rFonts w:ascii="Century Gothic" w:hAnsi="Century Gothic"/>
                <w:sz w:val="18"/>
                <w:szCs w:val="18"/>
              </w:rPr>
              <w:t>5</w:t>
            </w:r>
            <w:r w:rsidR="00067AD1">
              <w:rPr>
                <w:rFonts w:ascii="Century Gothic" w:hAnsi="Century Gothic"/>
                <w:sz w:val="18"/>
                <w:szCs w:val="18"/>
              </w:rPr>
              <w:t xml:space="preserve"> – Demonstrações orçamentais</w:t>
            </w:r>
          </w:p>
        </w:tc>
        <w:tc>
          <w:tcPr>
            <w:tcW w:w="1129" w:type="dxa"/>
            <w:shd w:val="clear" w:color="auto" w:fill="auto"/>
          </w:tcPr>
          <w:p w:rsidR="00065E0A"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20</w:t>
            </w:r>
          </w:p>
        </w:tc>
      </w:tr>
      <w:tr w:rsidR="007C7846" w:rsidRPr="00060AA1" w:rsidTr="002F20B0">
        <w:trPr>
          <w:jc w:val="center"/>
        </w:trPr>
        <w:tc>
          <w:tcPr>
            <w:tcW w:w="6799" w:type="dxa"/>
            <w:shd w:val="clear" w:color="auto" w:fill="auto"/>
          </w:tcPr>
          <w:p w:rsidR="007C7846" w:rsidRDefault="00751073" w:rsidP="00710B95">
            <w:pPr>
              <w:tabs>
                <w:tab w:val="left" w:pos="2310"/>
                <w:tab w:val="center" w:pos="4252"/>
              </w:tabs>
              <w:rPr>
                <w:rFonts w:ascii="Century Gothic" w:hAnsi="Century Gothic"/>
                <w:sz w:val="18"/>
                <w:szCs w:val="18"/>
              </w:rPr>
            </w:pPr>
            <w:r>
              <w:rPr>
                <w:rFonts w:ascii="Century Gothic" w:hAnsi="Century Gothic"/>
                <w:sz w:val="18"/>
                <w:szCs w:val="18"/>
              </w:rPr>
              <w:t>5.1 –</w:t>
            </w:r>
            <w:r w:rsidR="00D11ACD">
              <w:rPr>
                <w:rFonts w:ascii="Century Gothic" w:hAnsi="Century Gothic"/>
                <w:sz w:val="18"/>
                <w:szCs w:val="18"/>
              </w:rPr>
              <w:t xml:space="preserve"> Demonstração do</w:t>
            </w:r>
            <w:r>
              <w:rPr>
                <w:rFonts w:ascii="Century Gothic" w:hAnsi="Century Gothic"/>
                <w:sz w:val="18"/>
                <w:szCs w:val="18"/>
              </w:rPr>
              <w:t xml:space="preserve"> desempenho orçamental</w:t>
            </w:r>
          </w:p>
        </w:tc>
        <w:tc>
          <w:tcPr>
            <w:tcW w:w="1129" w:type="dxa"/>
            <w:shd w:val="clear" w:color="auto" w:fill="auto"/>
          </w:tcPr>
          <w:p w:rsidR="007C7846"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21</w:t>
            </w:r>
          </w:p>
        </w:tc>
      </w:tr>
      <w:tr w:rsidR="00751073" w:rsidRPr="00060AA1" w:rsidTr="002F20B0">
        <w:trPr>
          <w:jc w:val="center"/>
        </w:trPr>
        <w:tc>
          <w:tcPr>
            <w:tcW w:w="6799" w:type="dxa"/>
            <w:shd w:val="clear" w:color="auto" w:fill="auto"/>
          </w:tcPr>
          <w:p w:rsidR="00751073" w:rsidRDefault="00751073" w:rsidP="00710B95">
            <w:pPr>
              <w:tabs>
                <w:tab w:val="left" w:pos="2310"/>
                <w:tab w:val="center" w:pos="4252"/>
              </w:tabs>
              <w:rPr>
                <w:rFonts w:ascii="Century Gothic" w:hAnsi="Century Gothic"/>
                <w:sz w:val="18"/>
                <w:szCs w:val="18"/>
              </w:rPr>
            </w:pPr>
            <w:r>
              <w:rPr>
                <w:rFonts w:ascii="Century Gothic" w:hAnsi="Century Gothic"/>
                <w:sz w:val="18"/>
                <w:szCs w:val="18"/>
              </w:rPr>
              <w:t>5.2 – Demonstração da execução orçamental da receita</w:t>
            </w:r>
          </w:p>
        </w:tc>
        <w:tc>
          <w:tcPr>
            <w:tcW w:w="1129" w:type="dxa"/>
            <w:shd w:val="clear" w:color="auto" w:fill="auto"/>
          </w:tcPr>
          <w:p w:rsidR="00751073"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23</w:t>
            </w:r>
          </w:p>
        </w:tc>
      </w:tr>
      <w:tr w:rsidR="00065E0A" w:rsidRPr="00060AA1" w:rsidTr="002F20B0">
        <w:trPr>
          <w:jc w:val="center"/>
        </w:trPr>
        <w:tc>
          <w:tcPr>
            <w:tcW w:w="6799" w:type="dxa"/>
            <w:shd w:val="clear" w:color="auto" w:fill="auto"/>
          </w:tcPr>
          <w:p w:rsidR="00065E0A" w:rsidRDefault="00751073" w:rsidP="00710B95">
            <w:pPr>
              <w:tabs>
                <w:tab w:val="left" w:pos="2310"/>
                <w:tab w:val="center" w:pos="4252"/>
              </w:tabs>
              <w:rPr>
                <w:rFonts w:ascii="Century Gothic" w:hAnsi="Century Gothic"/>
                <w:sz w:val="18"/>
                <w:szCs w:val="18"/>
              </w:rPr>
            </w:pPr>
            <w:r>
              <w:rPr>
                <w:rFonts w:ascii="Century Gothic" w:hAnsi="Century Gothic"/>
                <w:sz w:val="18"/>
                <w:szCs w:val="18"/>
              </w:rPr>
              <w:t>5.3 – Demonstração da execução orçamental da despesa</w:t>
            </w:r>
          </w:p>
        </w:tc>
        <w:tc>
          <w:tcPr>
            <w:tcW w:w="1129" w:type="dxa"/>
            <w:shd w:val="clear" w:color="auto" w:fill="auto"/>
          </w:tcPr>
          <w:p w:rsidR="00065E0A" w:rsidRPr="00060AA1" w:rsidRDefault="00AF4F2E" w:rsidP="00710B95">
            <w:pPr>
              <w:tabs>
                <w:tab w:val="left" w:pos="2310"/>
                <w:tab w:val="center" w:pos="4252"/>
              </w:tabs>
              <w:jc w:val="center"/>
              <w:rPr>
                <w:rFonts w:ascii="Century Gothic" w:hAnsi="Century Gothic"/>
                <w:sz w:val="18"/>
                <w:szCs w:val="18"/>
              </w:rPr>
            </w:pPr>
            <w:r>
              <w:rPr>
                <w:rFonts w:ascii="Century Gothic" w:hAnsi="Century Gothic"/>
                <w:sz w:val="18"/>
                <w:szCs w:val="18"/>
              </w:rPr>
              <w:t>24</w:t>
            </w:r>
          </w:p>
        </w:tc>
      </w:tr>
      <w:tr w:rsidR="00065E0A" w:rsidRPr="00060AA1" w:rsidTr="002F20B0">
        <w:trPr>
          <w:jc w:val="center"/>
        </w:trPr>
        <w:tc>
          <w:tcPr>
            <w:tcW w:w="6799" w:type="dxa"/>
            <w:shd w:val="clear" w:color="auto" w:fill="auto"/>
          </w:tcPr>
          <w:p w:rsidR="00065E0A" w:rsidRDefault="00065E0A" w:rsidP="00710B95">
            <w:pPr>
              <w:tabs>
                <w:tab w:val="left" w:pos="2310"/>
                <w:tab w:val="center" w:pos="4252"/>
              </w:tabs>
              <w:rPr>
                <w:rFonts w:ascii="Century Gothic" w:hAnsi="Century Gothic"/>
                <w:sz w:val="18"/>
                <w:szCs w:val="18"/>
              </w:rPr>
            </w:pPr>
          </w:p>
        </w:tc>
        <w:tc>
          <w:tcPr>
            <w:tcW w:w="1129" w:type="dxa"/>
            <w:shd w:val="clear" w:color="auto" w:fill="auto"/>
          </w:tcPr>
          <w:p w:rsidR="00065E0A" w:rsidRPr="00060AA1" w:rsidRDefault="00065E0A" w:rsidP="000F2EF1">
            <w:pPr>
              <w:tabs>
                <w:tab w:val="left" w:pos="2310"/>
                <w:tab w:val="center" w:pos="4252"/>
              </w:tabs>
              <w:jc w:val="center"/>
              <w:rPr>
                <w:rFonts w:ascii="Century Gothic" w:hAnsi="Century Gothic"/>
                <w:sz w:val="18"/>
                <w:szCs w:val="18"/>
              </w:rPr>
            </w:pPr>
          </w:p>
        </w:tc>
      </w:tr>
      <w:tr w:rsidR="00751073" w:rsidRPr="00060AA1" w:rsidTr="002F20B0">
        <w:trPr>
          <w:jc w:val="center"/>
        </w:trPr>
        <w:tc>
          <w:tcPr>
            <w:tcW w:w="6799" w:type="dxa"/>
            <w:shd w:val="clear" w:color="auto" w:fill="auto"/>
          </w:tcPr>
          <w:p w:rsidR="00751073" w:rsidRDefault="00751073" w:rsidP="00710B95">
            <w:pPr>
              <w:tabs>
                <w:tab w:val="left" w:pos="2310"/>
                <w:tab w:val="center" w:pos="4252"/>
              </w:tabs>
              <w:rPr>
                <w:rFonts w:ascii="Century Gothic" w:hAnsi="Century Gothic"/>
                <w:sz w:val="18"/>
                <w:szCs w:val="18"/>
              </w:rPr>
            </w:pPr>
            <w:r>
              <w:rPr>
                <w:rFonts w:ascii="Century Gothic" w:hAnsi="Century Gothic"/>
                <w:sz w:val="18"/>
                <w:szCs w:val="18"/>
              </w:rPr>
              <w:t>6 – Anexos às demonstrações orçamentais</w:t>
            </w:r>
          </w:p>
        </w:tc>
        <w:tc>
          <w:tcPr>
            <w:tcW w:w="1129" w:type="dxa"/>
            <w:shd w:val="clear" w:color="auto" w:fill="auto"/>
          </w:tcPr>
          <w:p w:rsidR="00751073" w:rsidRPr="00060AA1" w:rsidRDefault="00751073" w:rsidP="000F2EF1">
            <w:pPr>
              <w:tabs>
                <w:tab w:val="left" w:pos="2310"/>
                <w:tab w:val="center" w:pos="4252"/>
              </w:tabs>
              <w:jc w:val="center"/>
              <w:rPr>
                <w:rFonts w:ascii="Century Gothic" w:hAnsi="Century Gothic"/>
                <w:sz w:val="18"/>
                <w:szCs w:val="18"/>
              </w:rPr>
            </w:pPr>
          </w:p>
        </w:tc>
      </w:tr>
      <w:tr w:rsidR="00751073" w:rsidRPr="00060AA1" w:rsidTr="002F20B0">
        <w:trPr>
          <w:jc w:val="center"/>
        </w:trPr>
        <w:tc>
          <w:tcPr>
            <w:tcW w:w="6799" w:type="dxa"/>
            <w:shd w:val="clear" w:color="auto" w:fill="auto"/>
          </w:tcPr>
          <w:p w:rsidR="00751073" w:rsidRDefault="002F20B0" w:rsidP="00710B95">
            <w:pPr>
              <w:tabs>
                <w:tab w:val="left" w:pos="2310"/>
                <w:tab w:val="center" w:pos="4252"/>
              </w:tabs>
              <w:rPr>
                <w:rFonts w:ascii="Century Gothic" w:hAnsi="Century Gothic"/>
                <w:sz w:val="18"/>
                <w:szCs w:val="18"/>
              </w:rPr>
            </w:pPr>
            <w:r>
              <w:rPr>
                <w:rFonts w:ascii="Century Gothic" w:hAnsi="Century Gothic"/>
                <w:sz w:val="18"/>
                <w:szCs w:val="18"/>
              </w:rPr>
              <w:t>6.1 – Alterações orçamentais da receita</w:t>
            </w:r>
          </w:p>
        </w:tc>
        <w:tc>
          <w:tcPr>
            <w:tcW w:w="1129" w:type="dxa"/>
            <w:shd w:val="clear" w:color="auto" w:fill="auto"/>
          </w:tcPr>
          <w:p w:rsidR="00751073" w:rsidRPr="00060AA1" w:rsidRDefault="00AF4F2E" w:rsidP="000F2EF1">
            <w:pPr>
              <w:tabs>
                <w:tab w:val="left" w:pos="2310"/>
                <w:tab w:val="center" w:pos="4252"/>
              </w:tabs>
              <w:jc w:val="center"/>
              <w:rPr>
                <w:rFonts w:ascii="Century Gothic" w:hAnsi="Century Gothic"/>
                <w:sz w:val="18"/>
                <w:szCs w:val="18"/>
              </w:rPr>
            </w:pPr>
            <w:r>
              <w:rPr>
                <w:rFonts w:ascii="Century Gothic" w:hAnsi="Century Gothic"/>
                <w:sz w:val="18"/>
                <w:szCs w:val="18"/>
              </w:rPr>
              <w:t>27</w:t>
            </w:r>
          </w:p>
        </w:tc>
      </w:tr>
      <w:tr w:rsidR="00751073" w:rsidRPr="00060AA1" w:rsidTr="002F20B0">
        <w:trPr>
          <w:jc w:val="center"/>
        </w:trPr>
        <w:tc>
          <w:tcPr>
            <w:tcW w:w="6799" w:type="dxa"/>
            <w:shd w:val="clear" w:color="auto" w:fill="auto"/>
          </w:tcPr>
          <w:p w:rsidR="00751073" w:rsidRDefault="002F20B0" w:rsidP="00710B95">
            <w:pPr>
              <w:tabs>
                <w:tab w:val="left" w:pos="2310"/>
                <w:tab w:val="center" w:pos="4252"/>
              </w:tabs>
              <w:rPr>
                <w:rFonts w:ascii="Century Gothic" w:hAnsi="Century Gothic"/>
                <w:sz w:val="18"/>
                <w:szCs w:val="18"/>
              </w:rPr>
            </w:pPr>
            <w:r>
              <w:rPr>
                <w:rFonts w:ascii="Century Gothic" w:hAnsi="Century Gothic"/>
                <w:sz w:val="18"/>
                <w:szCs w:val="18"/>
              </w:rPr>
              <w:t>6.2 – Alterações orçamentais da despesa</w:t>
            </w:r>
          </w:p>
        </w:tc>
        <w:tc>
          <w:tcPr>
            <w:tcW w:w="1129" w:type="dxa"/>
            <w:shd w:val="clear" w:color="auto" w:fill="auto"/>
          </w:tcPr>
          <w:p w:rsidR="00751073" w:rsidRPr="00060AA1" w:rsidRDefault="00AF4F2E" w:rsidP="000F2EF1">
            <w:pPr>
              <w:tabs>
                <w:tab w:val="left" w:pos="2310"/>
                <w:tab w:val="center" w:pos="4252"/>
              </w:tabs>
              <w:jc w:val="center"/>
              <w:rPr>
                <w:rFonts w:ascii="Century Gothic" w:hAnsi="Century Gothic"/>
                <w:sz w:val="18"/>
                <w:szCs w:val="18"/>
              </w:rPr>
            </w:pPr>
            <w:r>
              <w:rPr>
                <w:rFonts w:ascii="Century Gothic" w:hAnsi="Century Gothic"/>
                <w:sz w:val="18"/>
                <w:szCs w:val="18"/>
              </w:rPr>
              <w:t>28</w:t>
            </w:r>
          </w:p>
        </w:tc>
      </w:tr>
      <w:tr w:rsidR="00751073" w:rsidRPr="00060AA1" w:rsidTr="002F20B0">
        <w:trPr>
          <w:jc w:val="center"/>
        </w:trPr>
        <w:tc>
          <w:tcPr>
            <w:tcW w:w="6799" w:type="dxa"/>
            <w:shd w:val="clear" w:color="auto" w:fill="auto"/>
          </w:tcPr>
          <w:p w:rsidR="00751073" w:rsidRDefault="002F20B0" w:rsidP="00710B95">
            <w:pPr>
              <w:tabs>
                <w:tab w:val="left" w:pos="2310"/>
                <w:tab w:val="center" w:pos="4252"/>
              </w:tabs>
              <w:rPr>
                <w:rFonts w:ascii="Century Gothic" w:hAnsi="Century Gothic"/>
                <w:sz w:val="18"/>
                <w:szCs w:val="18"/>
              </w:rPr>
            </w:pPr>
            <w:r>
              <w:rPr>
                <w:rFonts w:ascii="Century Gothic" w:hAnsi="Century Gothic"/>
                <w:sz w:val="18"/>
                <w:szCs w:val="18"/>
              </w:rPr>
              <w:t>6.3 – Operações de tesouraria</w:t>
            </w:r>
          </w:p>
        </w:tc>
        <w:tc>
          <w:tcPr>
            <w:tcW w:w="1129" w:type="dxa"/>
            <w:shd w:val="clear" w:color="auto" w:fill="auto"/>
          </w:tcPr>
          <w:p w:rsidR="00751073" w:rsidRPr="00060AA1" w:rsidRDefault="00AF4F2E" w:rsidP="000F2EF1">
            <w:pPr>
              <w:tabs>
                <w:tab w:val="left" w:pos="2310"/>
                <w:tab w:val="center" w:pos="4252"/>
              </w:tabs>
              <w:jc w:val="center"/>
              <w:rPr>
                <w:rFonts w:ascii="Century Gothic" w:hAnsi="Century Gothic"/>
                <w:sz w:val="18"/>
                <w:szCs w:val="18"/>
              </w:rPr>
            </w:pPr>
            <w:r>
              <w:rPr>
                <w:rFonts w:ascii="Century Gothic" w:hAnsi="Century Gothic"/>
                <w:sz w:val="18"/>
                <w:szCs w:val="18"/>
              </w:rPr>
              <w:t>31</w:t>
            </w:r>
          </w:p>
        </w:tc>
      </w:tr>
      <w:tr w:rsidR="00751073" w:rsidRPr="00060AA1" w:rsidTr="002F20B0">
        <w:trPr>
          <w:jc w:val="center"/>
        </w:trPr>
        <w:tc>
          <w:tcPr>
            <w:tcW w:w="6799" w:type="dxa"/>
            <w:shd w:val="clear" w:color="auto" w:fill="auto"/>
          </w:tcPr>
          <w:p w:rsidR="00751073" w:rsidRDefault="002F20B0" w:rsidP="00710B95">
            <w:pPr>
              <w:tabs>
                <w:tab w:val="left" w:pos="2310"/>
                <w:tab w:val="center" w:pos="4252"/>
              </w:tabs>
              <w:rPr>
                <w:rFonts w:ascii="Century Gothic" w:hAnsi="Century Gothic"/>
                <w:sz w:val="18"/>
                <w:szCs w:val="18"/>
              </w:rPr>
            </w:pPr>
            <w:r>
              <w:rPr>
                <w:rFonts w:ascii="Century Gothic" w:hAnsi="Century Gothic"/>
                <w:sz w:val="18"/>
                <w:szCs w:val="18"/>
              </w:rPr>
              <w:t>6.4 – Contratação administrativa – situação dos contratos</w:t>
            </w:r>
          </w:p>
        </w:tc>
        <w:tc>
          <w:tcPr>
            <w:tcW w:w="1129" w:type="dxa"/>
            <w:shd w:val="clear" w:color="auto" w:fill="auto"/>
          </w:tcPr>
          <w:p w:rsidR="00751073" w:rsidRPr="00060AA1" w:rsidRDefault="00AF4F2E" w:rsidP="000F2EF1">
            <w:pPr>
              <w:tabs>
                <w:tab w:val="left" w:pos="2310"/>
                <w:tab w:val="center" w:pos="4252"/>
              </w:tabs>
              <w:jc w:val="center"/>
              <w:rPr>
                <w:rFonts w:ascii="Century Gothic" w:hAnsi="Century Gothic"/>
                <w:sz w:val="18"/>
                <w:szCs w:val="18"/>
              </w:rPr>
            </w:pPr>
            <w:r>
              <w:rPr>
                <w:rFonts w:ascii="Century Gothic" w:hAnsi="Century Gothic"/>
                <w:sz w:val="18"/>
                <w:szCs w:val="18"/>
              </w:rPr>
              <w:t>3</w:t>
            </w:r>
            <w:r w:rsidR="00C83777">
              <w:rPr>
                <w:rFonts w:ascii="Century Gothic" w:hAnsi="Century Gothic"/>
                <w:sz w:val="18"/>
                <w:szCs w:val="18"/>
              </w:rPr>
              <w:t>2</w:t>
            </w:r>
          </w:p>
        </w:tc>
      </w:tr>
      <w:tr w:rsidR="00751073" w:rsidRPr="00060AA1" w:rsidTr="002F20B0">
        <w:trPr>
          <w:jc w:val="center"/>
        </w:trPr>
        <w:tc>
          <w:tcPr>
            <w:tcW w:w="6799" w:type="dxa"/>
            <w:shd w:val="clear" w:color="auto" w:fill="auto"/>
          </w:tcPr>
          <w:p w:rsidR="00751073" w:rsidRDefault="002F20B0" w:rsidP="00710B95">
            <w:pPr>
              <w:tabs>
                <w:tab w:val="left" w:pos="2310"/>
                <w:tab w:val="center" w:pos="4252"/>
              </w:tabs>
              <w:rPr>
                <w:rFonts w:ascii="Century Gothic" w:hAnsi="Century Gothic"/>
                <w:sz w:val="18"/>
                <w:szCs w:val="18"/>
              </w:rPr>
            </w:pPr>
            <w:r>
              <w:rPr>
                <w:rFonts w:ascii="Century Gothic" w:hAnsi="Century Gothic"/>
                <w:sz w:val="18"/>
                <w:szCs w:val="18"/>
              </w:rPr>
              <w:t>6.5 – Contratação administrativa – adjudicação por tipo de procedimento</w:t>
            </w:r>
          </w:p>
        </w:tc>
        <w:tc>
          <w:tcPr>
            <w:tcW w:w="1129" w:type="dxa"/>
            <w:shd w:val="clear" w:color="auto" w:fill="auto"/>
          </w:tcPr>
          <w:p w:rsidR="00751073" w:rsidRPr="00060AA1" w:rsidRDefault="00C83777" w:rsidP="000F2EF1">
            <w:pPr>
              <w:tabs>
                <w:tab w:val="left" w:pos="2310"/>
                <w:tab w:val="center" w:pos="4252"/>
              </w:tabs>
              <w:jc w:val="center"/>
              <w:rPr>
                <w:rFonts w:ascii="Century Gothic" w:hAnsi="Century Gothic"/>
                <w:sz w:val="18"/>
                <w:szCs w:val="18"/>
              </w:rPr>
            </w:pPr>
            <w:r>
              <w:rPr>
                <w:rFonts w:ascii="Century Gothic" w:hAnsi="Century Gothic"/>
                <w:sz w:val="18"/>
                <w:szCs w:val="18"/>
              </w:rPr>
              <w:t>33</w:t>
            </w:r>
          </w:p>
        </w:tc>
      </w:tr>
      <w:tr w:rsidR="00751073" w:rsidRPr="00060AA1" w:rsidTr="002F20B0">
        <w:trPr>
          <w:jc w:val="center"/>
        </w:trPr>
        <w:tc>
          <w:tcPr>
            <w:tcW w:w="6799" w:type="dxa"/>
            <w:shd w:val="clear" w:color="auto" w:fill="auto"/>
          </w:tcPr>
          <w:p w:rsidR="00751073" w:rsidRDefault="002F20B0" w:rsidP="00710B95">
            <w:pPr>
              <w:tabs>
                <w:tab w:val="left" w:pos="2310"/>
                <w:tab w:val="center" w:pos="4252"/>
              </w:tabs>
              <w:rPr>
                <w:rFonts w:ascii="Century Gothic" w:hAnsi="Century Gothic"/>
                <w:sz w:val="18"/>
                <w:szCs w:val="18"/>
              </w:rPr>
            </w:pPr>
            <w:r>
              <w:rPr>
                <w:rFonts w:ascii="Century Gothic" w:hAnsi="Century Gothic"/>
                <w:sz w:val="18"/>
                <w:szCs w:val="18"/>
              </w:rPr>
              <w:t>6.6 – Transferências e subsídios – receita</w:t>
            </w:r>
          </w:p>
        </w:tc>
        <w:tc>
          <w:tcPr>
            <w:tcW w:w="1129" w:type="dxa"/>
            <w:shd w:val="clear" w:color="auto" w:fill="auto"/>
          </w:tcPr>
          <w:p w:rsidR="00751073" w:rsidRPr="00060AA1" w:rsidRDefault="00C83777" w:rsidP="000F2EF1">
            <w:pPr>
              <w:tabs>
                <w:tab w:val="left" w:pos="2310"/>
                <w:tab w:val="center" w:pos="4252"/>
              </w:tabs>
              <w:jc w:val="center"/>
              <w:rPr>
                <w:rFonts w:ascii="Century Gothic" w:hAnsi="Century Gothic"/>
                <w:sz w:val="18"/>
                <w:szCs w:val="18"/>
              </w:rPr>
            </w:pPr>
            <w:r>
              <w:rPr>
                <w:rFonts w:ascii="Century Gothic" w:hAnsi="Century Gothic"/>
                <w:sz w:val="18"/>
                <w:szCs w:val="18"/>
              </w:rPr>
              <w:t>33</w:t>
            </w:r>
          </w:p>
        </w:tc>
      </w:tr>
      <w:tr w:rsidR="00751073" w:rsidRPr="00060AA1" w:rsidTr="002F20B0">
        <w:trPr>
          <w:jc w:val="center"/>
        </w:trPr>
        <w:tc>
          <w:tcPr>
            <w:tcW w:w="6799" w:type="dxa"/>
            <w:shd w:val="clear" w:color="auto" w:fill="auto"/>
          </w:tcPr>
          <w:p w:rsidR="00751073" w:rsidRDefault="002F20B0" w:rsidP="00710B95">
            <w:pPr>
              <w:tabs>
                <w:tab w:val="left" w:pos="2310"/>
                <w:tab w:val="center" w:pos="4252"/>
              </w:tabs>
              <w:rPr>
                <w:rFonts w:ascii="Century Gothic" w:hAnsi="Century Gothic"/>
                <w:sz w:val="18"/>
                <w:szCs w:val="18"/>
              </w:rPr>
            </w:pPr>
            <w:r>
              <w:rPr>
                <w:rFonts w:ascii="Century Gothic" w:hAnsi="Century Gothic"/>
                <w:sz w:val="18"/>
                <w:szCs w:val="18"/>
              </w:rPr>
              <w:t>6.7 – Transferências e subsídio</w:t>
            </w:r>
            <w:r w:rsidR="00D10BD2">
              <w:rPr>
                <w:rFonts w:ascii="Century Gothic" w:hAnsi="Century Gothic"/>
                <w:sz w:val="18"/>
                <w:szCs w:val="18"/>
              </w:rPr>
              <w:t>s</w:t>
            </w:r>
            <w:r>
              <w:rPr>
                <w:rFonts w:ascii="Century Gothic" w:hAnsi="Century Gothic"/>
                <w:sz w:val="18"/>
                <w:szCs w:val="18"/>
              </w:rPr>
              <w:t xml:space="preserve"> - despesa</w:t>
            </w:r>
          </w:p>
        </w:tc>
        <w:tc>
          <w:tcPr>
            <w:tcW w:w="1129" w:type="dxa"/>
            <w:shd w:val="clear" w:color="auto" w:fill="auto"/>
          </w:tcPr>
          <w:p w:rsidR="00751073" w:rsidRPr="00060AA1" w:rsidRDefault="00C83777" w:rsidP="000F2EF1">
            <w:pPr>
              <w:tabs>
                <w:tab w:val="left" w:pos="2310"/>
                <w:tab w:val="center" w:pos="4252"/>
              </w:tabs>
              <w:jc w:val="center"/>
              <w:rPr>
                <w:rFonts w:ascii="Century Gothic" w:hAnsi="Century Gothic"/>
                <w:sz w:val="18"/>
                <w:szCs w:val="18"/>
              </w:rPr>
            </w:pPr>
            <w:r>
              <w:rPr>
                <w:rFonts w:ascii="Century Gothic" w:hAnsi="Century Gothic"/>
                <w:sz w:val="18"/>
                <w:szCs w:val="18"/>
              </w:rPr>
              <w:t>36</w:t>
            </w:r>
          </w:p>
        </w:tc>
      </w:tr>
      <w:tr w:rsidR="00751073" w:rsidRPr="00060AA1" w:rsidTr="002F20B0">
        <w:trPr>
          <w:jc w:val="center"/>
        </w:trPr>
        <w:tc>
          <w:tcPr>
            <w:tcW w:w="6799" w:type="dxa"/>
            <w:shd w:val="clear" w:color="auto" w:fill="auto"/>
          </w:tcPr>
          <w:p w:rsidR="00751073" w:rsidRDefault="002F20B0" w:rsidP="00710B95">
            <w:pPr>
              <w:tabs>
                <w:tab w:val="left" w:pos="2310"/>
                <w:tab w:val="center" w:pos="4252"/>
              </w:tabs>
              <w:rPr>
                <w:rFonts w:ascii="Century Gothic" w:hAnsi="Century Gothic"/>
                <w:sz w:val="18"/>
                <w:szCs w:val="18"/>
              </w:rPr>
            </w:pPr>
            <w:r>
              <w:rPr>
                <w:rFonts w:ascii="Century Gothic" w:hAnsi="Century Gothic"/>
                <w:sz w:val="18"/>
                <w:szCs w:val="18"/>
              </w:rPr>
              <w:t>6.8 – Encargos contratuais</w:t>
            </w:r>
          </w:p>
        </w:tc>
        <w:tc>
          <w:tcPr>
            <w:tcW w:w="1129" w:type="dxa"/>
            <w:shd w:val="clear" w:color="auto" w:fill="auto"/>
          </w:tcPr>
          <w:p w:rsidR="00751073" w:rsidRPr="00060AA1" w:rsidRDefault="00C83777" w:rsidP="000F2EF1">
            <w:pPr>
              <w:tabs>
                <w:tab w:val="left" w:pos="2310"/>
                <w:tab w:val="center" w:pos="4252"/>
              </w:tabs>
              <w:jc w:val="center"/>
              <w:rPr>
                <w:rFonts w:ascii="Century Gothic" w:hAnsi="Century Gothic"/>
                <w:sz w:val="18"/>
                <w:szCs w:val="18"/>
              </w:rPr>
            </w:pPr>
            <w:r>
              <w:rPr>
                <w:rFonts w:ascii="Century Gothic" w:hAnsi="Century Gothic"/>
                <w:sz w:val="18"/>
                <w:szCs w:val="18"/>
              </w:rPr>
              <w:t>37</w:t>
            </w:r>
          </w:p>
        </w:tc>
      </w:tr>
      <w:tr w:rsidR="00751073" w:rsidRPr="00060AA1" w:rsidTr="002F20B0">
        <w:trPr>
          <w:jc w:val="center"/>
        </w:trPr>
        <w:tc>
          <w:tcPr>
            <w:tcW w:w="6799" w:type="dxa"/>
            <w:shd w:val="clear" w:color="auto" w:fill="auto"/>
          </w:tcPr>
          <w:p w:rsidR="00751073" w:rsidRDefault="002F20B0" w:rsidP="00710B95">
            <w:pPr>
              <w:tabs>
                <w:tab w:val="left" w:pos="2310"/>
                <w:tab w:val="center" w:pos="4252"/>
              </w:tabs>
              <w:rPr>
                <w:rFonts w:ascii="Century Gothic" w:hAnsi="Century Gothic"/>
                <w:sz w:val="18"/>
                <w:szCs w:val="18"/>
              </w:rPr>
            </w:pPr>
            <w:r>
              <w:rPr>
                <w:rFonts w:ascii="Century Gothic" w:hAnsi="Century Gothic"/>
                <w:sz w:val="18"/>
                <w:szCs w:val="18"/>
              </w:rPr>
              <w:t>6.9 – Dívidas por antiguidade de saldos</w:t>
            </w:r>
          </w:p>
        </w:tc>
        <w:tc>
          <w:tcPr>
            <w:tcW w:w="1129" w:type="dxa"/>
            <w:shd w:val="clear" w:color="auto" w:fill="auto"/>
          </w:tcPr>
          <w:p w:rsidR="00751073" w:rsidRPr="00060AA1" w:rsidRDefault="00C83777" w:rsidP="000F2EF1">
            <w:pPr>
              <w:tabs>
                <w:tab w:val="left" w:pos="2310"/>
                <w:tab w:val="center" w:pos="4252"/>
              </w:tabs>
              <w:jc w:val="center"/>
              <w:rPr>
                <w:rFonts w:ascii="Century Gothic" w:hAnsi="Century Gothic"/>
                <w:sz w:val="18"/>
                <w:szCs w:val="18"/>
              </w:rPr>
            </w:pPr>
            <w:r>
              <w:rPr>
                <w:rFonts w:ascii="Century Gothic" w:hAnsi="Century Gothic"/>
                <w:sz w:val="18"/>
                <w:szCs w:val="18"/>
              </w:rPr>
              <w:t>38</w:t>
            </w:r>
          </w:p>
        </w:tc>
      </w:tr>
      <w:tr w:rsidR="00751073" w:rsidRPr="00060AA1" w:rsidTr="002F20B0">
        <w:trPr>
          <w:jc w:val="center"/>
        </w:trPr>
        <w:tc>
          <w:tcPr>
            <w:tcW w:w="6799" w:type="dxa"/>
            <w:shd w:val="clear" w:color="auto" w:fill="auto"/>
          </w:tcPr>
          <w:p w:rsidR="00751073" w:rsidRDefault="00751073" w:rsidP="00710B95">
            <w:pPr>
              <w:tabs>
                <w:tab w:val="left" w:pos="2310"/>
                <w:tab w:val="center" w:pos="4252"/>
              </w:tabs>
              <w:rPr>
                <w:rFonts w:ascii="Century Gothic" w:hAnsi="Century Gothic"/>
                <w:sz w:val="18"/>
                <w:szCs w:val="18"/>
              </w:rPr>
            </w:pPr>
          </w:p>
        </w:tc>
        <w:tc>
          <w:tcPr>
            <w:tcW w:w="1129" w:type="dxa"/>
            <w:shd w:val="clear" w:color="auto" w:fill="auto"/>
          </w:tcPr>
          <w:p w:rsidR="00751073" w:rsidRPr="00060AA1" w:rsidRDefault="00751073" w:rsidP="000F2EF1">
            <w:pPr>
              <w:tabs>
                <w:tab w:val="left" w:pos="2310"/>
                <w:tab w:val="center" w:pos="4252"/>
              </w:tabs>
              <w:jc w:val="center"/>
              <w:rPr>
                <w:rFonts w:ascii="Century Gothic" w:hAnsi="Century Gothic"/>
                <w:sz w:val="18"/>
                <w:szCs w:val="18"/>
              </w:rPr>
            </w:pPr>
          </w:p>
        </w:tc>
      </w:tr>
      <w:tr w:rsidR="00751073" w:rsidRPr="00060AA1" w:rsidTr="002F20B0">
        <w:trPr>
          <w:jc w:val="center"/>
        </w:trPr>
        <w:tc>
          <w:tcPr>
            <w:tcW w:w="6799" w:type="dxa"/>
            <w:shd w:val="clear" w:color="auto" w:fill="auto"/>
          </w:tcPr>
          <w:p w:rsidR="00751073" w:rsidRDefault="002F20B0" w:rsidP="00710B95">
            <w:pPr>
              <w:tabs>
                <w:tab w:val="left" w:pos="2310"/>
                <w:tab w:val="center" w:pos="4252"/>
              </w:tabs>
              <w:rPr>
                <w:rFonts w:ascii="Century Gothic" w:hAnsi="Century Gothic"/>
                <w:sz w:val="18"/>
                <w:szCs w:val="18"/>
              </w:rPr>
            </w:pPr>
            <w:r>
              <w:rPr>
                <w:rFonts w:ascii="Century Gothic" w:hAnsi="Century Gothic"/>
                <w:sz w:val="18"/>
                <w:szCs w:val="18"/>
              </w:rPr>
              <w:t>7</w:t>
            </w:r>
            <w:r w:rsidR="00751073">
              <w:rPr>
                <w:rFonts w:ascii="Century Gothic" w:hAnsi="Century Gothic"/>
                <w:sz w:val="18"/>
                <w:szCs w:val="18"/>
              </w:rPr>
              <w:t xml:space="preserve"> – Notas finais</w:t>
            </w:r>
          </w:p>
        </w:tc>
        <w:tc>
          <w:tcPr>
            <w:tcW w:w="1129" w:type="dxa"/>
            <w:shd w:val="clear" w:color="auto" w:fill="auto"/>
          </w:tcPr>
          <w:p w:rsidR="00751073" w:rsidRPr="00060AA1" w:rsidRDefault="00C83777" w:rsidP="000F2EF1">
            <w:pPr>
              <w:tabs>
                <w:tab w:val="left" w:pos="2310"/>
                <w:tab w:val="center" w:pos="4252"/>
              </w:tabs>
              <w:jc w:val="center"/>
              <w:rPr>
                <w:rFonts w:ascii="Century Gothic" w:hAnsi="Century Gothic"/>
                <w:sz w:val="18"/>
                <w:szCs w:val="18"/>
              </w:rPr>
            </w:pPr>
            <w:r>
              <w:rPr>
                <w:rFonts w:ascii="Century Gothic" w:hAnsi="Century Gothic"/>
                <w:sz w:val="18"/>
                <w:szCs w:val="18"/>
              </w:rPr>
              <w:t>40</w:t>
            </w:r>
          </w:p>
        </w:tc>
      </w:tr>
    </w:tbl>
    <w:p w:rsidR="002673B6" w:rsidRDefault="002673B6" w:rsidP="00710B95">
      <w:pPr>
        <w:tabs>
          <w:tab w:val="left" w:pos="2310"/>
          <w:tab w:val="center" w:pos="4252"/>
        </w:tabs>
        <w:jc w:val="center"/>
        <w:rPr>
          <w:rFonts w:ascii="Euphemia" w:hAnsi="Euphemia"/>
          <w:b/>
          <w:sz w:val="24"/>
          <w:szCs w:val="24"/>
        </w:rPr>
      </w:pPr>
    </w:p>
    <w:p w:rsidR="00B43BF7" w:rsidRDefault="00B43BF7" w:rsidP="00710B95">
      <w:pPr>
        <w:tabs>
          <w:tab w:val="left" w:pos="2310"/>
          <w:tab w:val="center" w:pos="4252"/>
        </w:tabs>
        <w:jc w:val="center"/>
        <w:rPr>
          <w:rFonts w:ascii="Euphemia" w:hAnsi="Euphemia"/>
          <w:b/>
          <w:sz w:val="24"/>
          <w:szCs w:val="24"/>
        </w:rPr>
      </w:pPr>
    </w:p>
    <w:p w:rsidR="006C7730" w:rsidRDefault="006C7730" w:rsidP="0007778B">
      <w:pPr>
        <w:tabs>
          <w:tab w:val="left" w:pos="2310"/>
          <w:tab w:val="center" w:pos="4252"/>
        </w:tabs>
        <w:jc w:val="center"/>
        <w:rPr>
          <w:rFonts w:ascii="Euphemia" w:hAnsi="Euphemia"/>
          <w:b/>
          <w:sz w:val="24"/>
          <w:szCs w:val="24"/>
        </w:rPr>
      </w:pPr>
    </w:p>
    <w:p w:rsidR="00A965C7" w:rsidRPr="00924127" w:rsidRDefault="00A965C7" w:rsidP="0007778B">
      <w:pPr>
        <w:tabs>
          <w:tab w:val="left" w:pos="2310"/>
          <w:tab w:val="center" w:pos="4252"/>
        </w:tabs>
        <w:jc w:val="center"/>
        <w:rPr>
          <w:rFonts w:ascii="Century Gothic" w:hAnsi="Century Gothic"/>
          <w:b/>
        </w:rPr>
      </w:pPr>
    </w:p>
    <w:p w:rsidR="00A965C7" w:rsidRPr="00924127" w:rsidRDefault="00A965C7" w:rsidP="0007778B">
      <w:pPr>
        <w:tabs>
          <w:tab w:val="left" w:pos="2310"/>
          <w:tab w:val="center" w:pos="4252"/>
        </w:tabs>
        <w:jc w:val="center"/>
        <w:rPr>
          <w:rFonts w:ascii="Century Gothic" w:hAnsi="Century Gothic"/>
          <w:b/>
        </w:rPr>
      </w:pPr>
    </w:p>
    <w:p w:rsidR="00586C7C" w:rsidRPr="00924127" w:rsidRDefault="00620918" w:rsidP="00620918">
      <w:pPr>
        <w:tabs>
          <w:tab w:val="left" w:pos="2310"/>
          <w:tab w:val="center" w:pos="4252"/>
        </w:tabs>
        <w:rPr>
          <w:rFonts w:ascii="Century Gothic" w:hAnsi="Century Gothic"/>
          <w:b/>
        </w:rPr>
      </w:pPr>
      <w:r>
        <w:rPr>
          <w:rFonts w:ascii="Century Gothic" w:hAnsi="Century Gothic"/>
          <w:b/>
        </w:rPr>
        <w:t>1 - Introdução</w:t>
      </w:r>
    </w:p>
    <w:p w:rsidR="00C507BD" w:rsidRPr="00924127" w:rsidRDefault="00C507BD" w:rsidP="00B43BF7">
      <w:pPr>
        <w:tabs>
          <w:tab w:val="left" w:pos="2310"/>
          <w:tab w:val="center" w:pos="4252"/>
        </w:tabs>
        <w:jc w:val="center"/>
        <w:rPr>
          <w:rFonts w:ascii="Euphemia" w:hAnsi="Euphemia"/>
          <w:b/>
        </w:rPr>
      </w:pPr>
    </w:p>
    <w:p w:rsidR="00A965C7" w:rsidRPr="00924127" w:rsidRDefault="00A965C7" w:rsidP="00A965C7">
      <w:pPr>
        <w:pStyle w:val="Corpodetexto2"/>
        <w:spacing w:line="240" w:lineRule="auto"/>
        <w:rPr>
          <w:rFonts w:ascii="Century Gothic" w:hAnsi="Century Gothic"/>
          <w:sz w:val="20"/>
        </w:rPr>
      </w:pPr>
    </w:p>
    <w:p w:rsidR="00A965C7" w:rsidRPr="00924127" w:rsidRDefault="00A965C7" w:rsidP="00A965C7">
      <w:pPr>
        <w:pStyle w:val="Corpodetexto2"/>
        <w:spacing w:line="276" w:lineRule="auto"/>
        <w:rPr>
          <w:rFonts w:ascii="Century Gothic" w:hAnsi="Century Gothic"/>
          <w:sz w:val="20"/>
        </w:rPr>
      </w:pPr>
    </w:p>
    <w:p w:rsidR="008B0163" w:rsidRDefault="00A965C7" w:rsidP="00A965C7">
      <w:pPr>
        <w:pStyle w:val="Corpodetexto2"/>
        <w:spacing w:line="276" w:lineRule="auto"/>
        <w:rPr>
          <w:rFonts w:ascii="Century Gothic" w:hAnsi="Century Gothic"/>
          <w:sz w:val="20"/>
        </w:rPr>
      </w:pPr>
      <w:r w:rsidRPr="00924127">
        <w:rPr>
          <w:rFonts w:ascii="Century Gothic" w:hAnsi="Century Gothic"/>
          <w:sz w:val="20"/>
        </w:rPr>
        <w:t>E</w:t>
      </w:r>
      <w:r w:rsidR="008B0163" w:rsidRPr="00924127">
        <w:rPr>
          <w:rFonts w:ascii="Century Gothic" w:hAnsi="Century Gothic"/>
          <w:sz w:val="20"/>
        </w:rPr>
        <w:t>laborou-se o presente Relatório de Gestão e</w:t>
      </w:r>
      <w:r w:rsidR="002534E1">
        <w:rPr>
          <w:rFonts w:ascii="Century Gothic" w:hAnsi="Century Gothic"/>
          <w:sz w:val="20"/>
        </w:rPr>
        <w:t xml:space="preserve"> Contas referente ao ano de 202</w:t>
      </w:r>
      <w:r w:rsidR="00672103">
        <w:rPr>
          <w:rFonts w:ascii="Century Gothic" w:hAnsi="Century Gothic"/>
          <w:sz w:val="20"/>
        </w:rPr>
        <w:t>2</w:t>
      </w:r>
      <w:r w:rsidR="008B0163" w:rsidRPr="00924127">
        <w:rPr>
          <w:rFonts w:ascii="Century Gothic" w:hAnsi="Century Gothic"/>
          <w:sz w:val="20"/>
        </w:rPr>
        <w:t xml:space="preserve">, que constitui um dos documentos de prestação de contas, de acordo com </w:t>
      </w:r>
      <w:r w:rsidRPr="00924127">
        <w:rPr>
          <w:rFonts w:ascii="Century Gothic" w:hAnsi="Century Gothic"/>
          <w:sz w:val="20"/>
        </w:rPr>
        <w:t>as instruções do Tribunal</w:t>
      </w:r>
      <w:r w:rsidR="008B0163" w:rsidRPr="00924127">
        <w:rPr>
          <w:rFonts w:ascii="Century Gothic" w:hAnsi="Century Gothic"/>
          <w:sz w:val="20"/>
        </w:rPr>
        <w:t xml:space="preserve"> de Conta</w:t>
      </w:r>
      <w:r w:rsidRPr="00924127">
        <w:rPr>
          <w:rFonts w:ascii="Century Gothic" w:hAnsi="Century Gothic"/>
          <w:sz w:val="20"/>
        </w:rPr>
        <w:t>s.</w:t>
      </w:r>
    </w:p>
    <w:p w:rsidR="00620918" w:rsidRPr="00924127" w:rsidRDefault="00620918" w:rsidP="00A965C7">
      <w:pPr>
        <w:pStyle w:val="Corpodetexto2"/>
        <w:spacing w:line="276" w:lineRule="auto"/>
        <w:rPr>
          <w:rFonts w:ascii="Century Gothic" w:hAnsi="Century Gothic"/>
          <w:sz w:val="20"/>
        </w:rPr>
      </w:pPr>
    </w:p>
    <w:p w:rsidR="00620918" w:rsidRDefault="00620918" w:rsidP="00A965C7">
      <w:pPr>
        <w:pStyle w:val="Corpodetexto2"/>
        <w:spacing w:line="276" w:lineRule="auto"/>
        <w:rPr>
          <w:rFonts w:ascii="Century Gothic" w:hAnsi="Century Gothic"/>
          <w:sz w:val="20"/>
        </w:rPr>
      </w:pPr>
      <w:r>
        <w:rPr>
          <w:rFonts w:ascii="Century Gothic" w:hAnsi="Century Gothic"/>
          <w:sz w:val="20"/>
        </w:rPr>
        <w:t>O presente relatório foi elaborado no âmbito da prestaç</w:t>
      </w:r>
      <w:r w:rsidR="002716DF">
        <w:rPr>
          <w:rFonts w:ascii="Century Gothic" w:hAnsi="Century Gothic"/>
          <w:sz w:val="20"/>
        </w:rPr>
        <w:t>ão de contas, relativa à gerência de 202</w:t>
      </w:r>
      <w:r w:rsidR="00672103">
        <w:rPr>
          <w:rFonts w:ascii="Century Gothic" w:hAnsi="Century Gothic"/>
          <w:sz w:val="20"/>
        </w:rPr>
        <w:t xml:space="preserve">2, aplicando </w:t>
      </w:r>
      <w:r w:rsidR="002716DF">
        <w:rPr>
          <w:rFonts w:ascii="Century Gothic" w:hAnsi="Century Gothic"/>
          <w:sz w:val="20"/>
        </w:rPr>
        <w:t>o Sistema de Normalização Contabilística para a Administração Pública (SNC-AP), conforme definido no Decreto-Lei n.º 192/2015, de 11 de setembro, e de acordo com a Instrução n.º 1/2019 do Tribunal de Contas.</w:t>
      </w:r>
    </w:p>
    <w:p w:rsidR="002716DF" w:rsidRDefault="002716DF" w:rsidP="00A965C7">
      <w:pPr>
        <w:pStyle w:val="Corpodetexto2"/>
        <w:spacing w:line="276" w:lineRule="auto"/>
        <w:rPr>
          <w:rFonts w:ascii="Century Gothic" w:hAnsi="Century Gothic"/>
          <w:sz w:val="20"/>
        </w:rPr>
      </w:pPr>
    </w:p>
    <w:p w:rsidR="002716DF" w:rsidRDefault="002716DF" w:rsidP="00A965C7">
      <w:pPr>
        <w:pStyle w:val="Corpodetexto2"/>
        <w:spacing w:line="276" w:lineRule="auto"/>
        <w:rPr>
          <w:rFonts w:ascii="Century Gothic" w:hAnsi="Century Gothic"/>
          <w:sz w:val="20"/>
        </w:rPr>
      </w:pPr>
      <w:r>
        <w:rPr>
          <w:rFonts w:ascii="Century Gothic" w:hAnsi="Century Gothic"/>
          <w:sz w:val="20"/>
        </w:rPr>
        <w:t>As presentes demonstrações financeiras reportam-se ao período de 1 de janeiro a 31 de dezembro de 202</w:t>
      </w:r>
      <w:r w:rsidR="00672103">
        <w:rPr>
          <w:rFonts w:ascii="Century Gothic" w:hAnsi="Century Gothic"/>
          <w:sz w:val="20"/>
        </w:rPr>
        <w:t>2</w:t>
      </w:r>
      <w:r>
        <w:rPr>
          <w:rFonts w:ascii="Century Gothic" w:hAnsi="Century Gothic"/>
          <w:sz w:val="20"/>
        </w:rPr>
        <w:t>.</w:t>
      </w:r>
    </w:p>
    <w:p w:rsidR="002716DF" w:rsidRDefault="002716DF" w:rsidP="00A965C7">
      <w:pPr>
        <w:pStyle w:val="Corpodetexto2"/>
        <w:spacing w:line="276" w:lineRule="auto"/>
        <w:rPr>
          <w:rFonts w:ascii="Century Gothic" w:hAnsi="Century Gothic"/>
          <w:sz w:val="20"/>
        </w:rPr>
      </w:pPr>
    </w:p>
    <w:p w:rsidR="002716DF" w:rsidRDefault="00F24E5E" w:rsidP="00A965C7">
      <w:pPr>
        <w:pStyle w:val="Corpodetexto2"/>
        <w:spacing w:line="276" w:lineRule="auto"/>
        <w:rPr>
          <w:rFonts w:ascii="Century Gothic" w:hAnsi="Century Gothic"/>
          <w:sz w:val="20"/>
        </w:rPr>
      </w:pPr>
      <w:r>
        <w:rPr>
          <w:rFonts w:ascii="Century Gothic" w:hAnsi="Century Gothic"/>
          <w:sz w:val="20"/>
        </w:rPr>
        <w:t>Na análise a estes mapas, que adiante apresentamos, damos contas das informações relevantes, para melhor compreensão dos mesmos.</w:t>
      </w:r>
    </w:p>
    <w:p w:rsidR="00F24E5E" w:rsidRDefault="00F24E5E" w:rsidP="00A965C7">
      <w:pPr>
        <w:pStyle w:val="Corpodetexto2"/>
        <w:spacing w:line="276" w:lineRule="auto"/>
        <w:rPr>
          <w:rFonts w:ascii="Century Gothic" w:hAnsi="Century Gothic"/>
          <w:sz w:val="20"/>
        </w:rPr>
      </w:pPr>
    </w:p>
    <w:p w:rsidR="00F24E5E" w:rsidRPr="00924127" w:rsidRDefault="00F24E5E" w:rsidP="00A965C7">
      <w:pPr>
        <w:pStyle w:val="Corpodetexto2"/>
        <w:spacing w:line="276" w:lineRule="auto"/>
        <w:rPr>
          <w:rFonts w:ascii="Century Gothic" w:hAnsi="Century Gothic"/>
          <w:sz w:val="20"/>
        </w:rPr>
      </w:pPr>
      <w:r>
        <w:rPr>
          <w:rFonts w:ascii="Century Gothic" w:hAnsi="Century Gothic"/>
          <w:sz w:val="20"/>
        </w:rPr>
        <w:t>As notas não aplicáveis ou materialmente irrelevantes foram omitidas.</w:t>
      </w:r>
    </w:p>
    <w:p w:rsidR="008B0163" w:rsidRPr="00924127" w:rsidRDefault="008B0163" w:rsidP="008B0163">
      <w:pPr>
        <w:widowControl/>
        <w:rPr>
          <w:rFonts w:ascii="Arial" w:hAnsi="Arial" w:cs="Arial"/>
        </w:rPr>
      </w:pPr>
    </w:p>
    <w:p w:rsidR="00C507BD" w:rsidRDefault="00C507BD" w:rsidP="00B43BF7">
      <w:pPr>
        <w:tabs>
          <w:tab w:val="left" w:pos="2310"/>
          <w:tab w:val="center" w:pos="4252"/>
        </w:tabs>
        <w:jc w:val="center"/>
        <w:rPr>
          <w:rFonts w:ascii="Euphemia" w:hAnsi="Euphemia"/>
          <w:b/>
          <w:sz w:val="24"/>
          <w:szCs w:val="24"/>
        </w:rPr>
      </w:pPr>
    </w:p>
    <w:p w:rsidR="00C507BD" w:rsidRDefault="00C507BD" w:rsidP="00B43BF7">
      <w:pPr>
        <w:tabs>
          <w:tab w:val="left" w:pos="2310"/>
          <w:tab w:val="center" w:pos="4252"/>
        </w:tabs>
        <w:jc w:val="center"/>
        <w:rPr>
          <w:rFonts w:ascii="Euphemia" w:hAnsi="Euphemia"/>
          <w:b/>
          <w:sz w:val="24"/>
          <w:szCs w:val="24"/>
        </w:rPr>
      </w:pPr>
    </w:p>
    <w:p w:rsidR="00A965C7" w:rsidRDefault="00A965C7" w:rsidP="00B43BF7">
      <w:pPr>
        <w:tabs>
          <w:tab w:val="left" w:pos="2310"/>
          <w:tab w:val="center" w:pos="4252"/>
        </w:tabs>
        <w:jc w:val="center"/>
        <w:rPr>
          <w:rFonts w:ascii="Euphemia" w:hAnsi="Euphemia"/>
          <w:b/>
          <w:sz w:val="24"/>
          <w:szCs w:val="24"/>
        </w:rPr>
      </w:pPr>
    </w:p>
    <w:p w:rsidR="00A965C7" w:rsidRDefault="00A965C7" w:rsidP="00B43BF7">
      <w:pPr>
        <w:tabs>
          <w:tab w:val="left" w:pos="2310"/>
          <w:tab w:val="center" w:pos="4252"/>
        </w:tabs>
        <w:jc w:val="center"/>
        <w:rPr>
          <w:rFonts w:ascii="Euphemia" w:hAnsi="Euphemia"/>
          <w:b/>
          <w:sz w:val="24"/>
          <w:szCs w:val="24"/>
        </w:rPr>
      </w:pPr>
    </w:p>
    <w:p w:rsidR="00A965C7" w:rsidRDefault="00A965C7" w:rsidP="00B43BF7">
      <w:pPr>
        <w:tabs>
          <w:tab w:val="left" w:pos="2310"/>
          <w:tab w:val="center" w:pos="4252"/>
        </w:tabs>
        <w:jc w:val="center"/>
        <w:rPr>
          <w:rFonts w:ascii="Euphemia" w:hAnsi="Euphemia"/>
          <w:b/>
          <w:sz w:val="24"/>
          <w:szCs w:val="24"/>
        </w:rPr>
      </w:pPr>
    </w:p>
    <w:p w:rsidR="00A965C7" w:rsidRDefault="00A965C7" w:rsidP="00B43BF7">
      <w:pPr>
        <w:tabs>
          <w:tab w:val="left" w:pos="2310"/>
          <w:tab w:val="center" w:pos="4252"/>
        </w:tabs>
        <w:jc w:val="center"/>
        <w:rPr>
          <w:rFonts w:ascii="Euphemia" w:hAnsi="Euphemia"/>
          <w:b/>
          <w:sz w:val="24"/>
          <w:szCs w:val="24"/>
        </w:rPr>
      </w:pPr>
    </w:p>
    <w:p w:rsidR="00A965C7" w:rsidRDefault="00A965C7" w:rsidP="00B43BF7">
      <w:pPr>
        <w:tabs>
          <w:tab w:val="left" w:pos="2310"/>
          <w:tab w:val="center" w:pos="4252"/>
        </w:tabs>
        <w:jc w:val="center"/>
        <w:rPr>
          <w:rFonts w:ascii="Euphemia" w:hAnsi="Euphemia"/>
          <w:b/>
          <w:sz w:val="24"/>
          <w:szCs w:val="24"/>
        </w:rPr>
      </w:pPr>
    </w:p>
    <w:p w:rsidR="00A965C7" w:rsidRDefault="00A965C7" w:rsidP="00B43BF7">
      <w:pPr>
        <w:tabs>
          <w:tab w:val="left" w:pos="2310"/>
          <w:tab w:val="center" w:pos="4252"/>
        </w:tabs>
        <w:jc w:val="center"/>
        <w:rPr>
          <w:rFonts w:ascii="Euphemia" w:hAnsi="Euphemia"/>
          <w:b/>
          <w:sz w:val="24"/>
          <w:szCs w:val="24"/>
        </w:rPr>
      </w:pPr>
    </w:p>
    <w:p w:rsidR="00A965C7" w:rsidRDefault="00A965C7" w:rsidP="00B43BF7">
      <w:pPr>
        <w:tabs>
          <w:tab w:val="left" w:pos="2310"/>
          <w:tab w:val="center" w:pos="4252"/>
        </w:tabs>
        <w:jc w:val="center"/>
        <w:rPr>
          <w:rFonts w:ascii="Euphemia" w:hAnsi="Euphemia"/>
          <w:b/>
          <w:sz w:val="24"/>
          <w:szCs w:val="24"/>
        </w:rPr>
      </w:pPr>
    </w:p>
    <w:p w:rsidR="00A965C7" w:rsidRDefault="00A965C7" w:rsidP="00B43BF7">
      <w:pPr>
        <w:tabs>
          <w:tab w:val="left" w:pos="2310"/>
          <w:tab w:val="center" w:pos="4252"/>
        </w:tabs>
        <w:jc w:val="center"/>
        <w:rPr>
          <w:rFonts w:ascii="Euphemia" w:hAnsi="Euphemia"/>
          <w:b/>
          <w:sz w:val="24"/>
          <w:szCs w:val="24"/>
        </w:rPr>
      </w:pPr>
    </w:p>
    <w:p w:rsidR="00A965C7" w:rsidRDefault="00A965C7" w:rsidP="00B43BF7">
      <w:pPr>
        <w:tabs>
          <w:tab w:val="left" w:pos="2310"/>
          <w:tab w:val="center" w:pos="4252"/>
        </w:tabs>
        <w:jc w:val="center"/>
        <w:rPr>
          <w:rFonts w:ascii="Euphemia" w:hAnsi="Euphemia"/>
          <w:b/>
          <w:sz w:val="24"/>
          <w:szCs w:val="24"/>
        </w:rPr>
      </w:pPr>
    </w:p>
    <w:p w:rsidR="00AA3F15" w:rsidRDefault="00AA3F15" w:rsidP="00B43BF7">
      <w:pPr>
        <w:tabs>
          <w:tab w:val="left" w:pos="2310"/>
          <w:tab w:val="center" w:pos="4252"/>
        </w:tabs>
        <w:jc w:val="center"/>
        <w:rPr>
          <w:rFonts w:ascii="Euphemia" w:hAnsi="Euphemia"/>
          <w:b/>
          <w:sz w:val="24"/>
          <w:szCs w:val="24"/>
        </w:rPr>
      </w:pPr>
    </w:p>
    <w:p w:rsidR="00FE4E60" w:rsidRDefault="00FE4E60" w:rsidP="00B43BF7">
      <w:pPr>
        <w:tabs>
          <w:tab w:val="left" w:pos="2310"/>
          <w:tab w:val="center" w:pos="4252"/>
        </w:tabs>
        <w:jc w:val="center"/>
        <w:rPr>
          <w:rFonts w:ascii="Euphemia" w:hAnsi="Euphemia"/>
          <w:b/>
          <w:sz w:val="24"/>
          <w:szCs w:val="24"/>
        </w:rPr>
      </w:pPr>
    </w:p>
    <w:p w:rsidR="00A12802" w:rsidRDefault="00A12802" w:rsidP="00B43BF7">
      <w:pPr>
        <w:tabs>
          <w:tab w:val="left" w:pos="2310"/>
          <w:tab w:val="center" w:pos="4252"/>
        </w:tabs>
        <w:jc w:val="center"/>
        <w:rPr>
          <w:rFonts w:ascii="Euphemia" w:hAnsi="Euphemia"/>
          <w:b/>
          <w:sz w:val="24"/>
          <w:szCs w:val="24"/>
        </w:rPr>
      </w:pPr>
    </w:p>
    <w:p w:rsidR="00672103" w:rsidRDefault="00672103" w:rsidP="00B43BF7">
      <w:pPr>
        <w:tabs>
          <w:tab w:val="left" w:pos="2310"/>
          <w:tab w:val="center" w:pos="4252"/>
        </w:tabs>
        <w:jc w:val="center"/>
        <w:rPr>
          <w:rFonts w:ascii="Euphemia" w:hAnsi="Euphemia"/>
          <w:b/>
          <w:sz w:val="24"/>
          <w:szCs w:val="24"/>
        </w:rPr>
      </w:pPr>
    </w:p>
    <w:p w:rsidR="00EF571E" w:rsidRDefault="00EF571E" w:rsidP="00EF571E">
      <w:pPr>
        <w:tabs>
          <w:tab w:val="left" w:pos="2310"/>
          <w:tab w:val="center" w:pos="4252"/>
        </w:tabs>
        <w:jc w:val="center"/>
        <w:rPr>
          <w:rFonts w:ascii="Euphemia" w:hAnsi="Euphemia"/>
          <w:b/>
          <w:sz w:val="24"/>
          <w:szCs w:val="24"/>
        </w:rPr>
      </w:pPr>
    </w:p>
    <w:p w:rsidR="00EF571E" w:rsidRDefault="00EF571E" w:rsidP="00EF571E">
      <w:pPr>
        <w:pStyle w:val="Corpodetexto2"/>
        <w:spacing w:line="240" w:lineRule="auto"/>
        <w:rPr>
          <w:rFonts w:ascii="Century Gothic" w:hAnsi="Century Gothic"/>
          <w:b/>
          <w:sz w:val="18"/>
          <w:szCs w:val="18"/>
        </w:rPr>
      </w:pPr>
    </w:p>
    <w:p w:rsidR="00EF571E" w:rsidRDefault="00705862" w:rsidP="00EF571E">
      <w:pPr>
        <w:pStyle w:val="PargrafodaLista"/>
        <w:ind w:left="0"/>
        <w:jc w:val="both"/>
        <w:rPr>
          <w:rFonts w:ascii="Century Gothic" w:hAnsi="Century Gothic"/>
          <w:b/>
        </w:rPr>
      </w:pPr>
      <w:r>
        <w:rPr>
          <w:rFonts w:ascii="Century Gothic" w:hAnsi="Century Gothic"/>
          <w:b/>
          <w:caps/>
        </w:rPr>
        <w:t>2</w:t>
      </w:r>
      <w:r w:rsidR="007C7846" w:rsidRPr="0033691D">
        <w:rPr>
          <w:rFonts w:ascii="Century Gothic" w:hAnsi="Century Gothic"/>
          <w:b/>
          <w:caps/>
        </w:rPr>
        <w:t xml:space="preserve"> </w:t>
      </w:r>
      <w:r w:rsidR="00FE4B31">
        <w:rPr>
          <w:rFonts w:ascii="Century Gothic" w:hAnsi="Century Gothic"/>
          <w:b/>
          <w:caps/>
        </w:rPr>
        <w:t>–</w:t>
      </w:r>
      <w:r w:rsidR="007C7846" w:rsidRPr="0033691D">
        <w:rPr>
          <w:rFonts w:ascii="Century Gothic" w:hAnsi="Century Gothic"/>
          <w:b/>
          <w:caps/>
        </w:rPr>
        <w:t xml:space="preserve"> </w:t>
      </w:r>
      <w:r>
        <w:rPr>
          <w:rFonts w:ascii="Century Gothic" w:hAnsi="Century Gothic"/>
          <w:b/>
        </w:rPr>
        <w:t>Caracterização da entidade</w:t>
      </w:r>
    </w:p>
    <w:p w:rsidR="00705862" w:rsidRDefault="00705862" w:rsidP="00EF571E">
      <w:pPr>
        <w:pStyle w:val="PargrafodaLista"/>
        <w:ind w:left="0"/>
        <w:jc w:val="both"/>
        <w:rPr>
          <w:rFonts w:ascii="Century Gothic" w:hAnsi="Century Gothic"/>
          <w:b/>
        </w:rPr>
      </w:pPr>
    </w:p>
    <w:p w:rsidR="002F5621" w:rsidRPr="0033691D" w:rsidRDefault="002F5621" w:rsidP="002F5621">
      <w:pPr>
        <w:widowControl/>
        <w:autoSpaceDE w:val="0"/>
        <w:autoSpaceDN w:val="0"/>
        <w:adjustRightInd w:val="0"/>
        <w:jc w:val="both"/>
        <w:rPr>
          <w:rFonts w:ascii="Century Gothic" w:hAnsi="Century Gothic"/>
        </w:rPr>
      </w:pPr>
      <w:r>
        <w:rPr>
          <w:rFonts w:ascii="Century Gothic" w:hAnsi="Century Gothic"/>
        </w:rPr>
        <w:t>A Escola Profissional de Capelas, doravante EPC, é</w:t>
      </w:r>
      <w:r w:rsidRPr="0033691D">
        <w:rPr>
          <w:rFonts w:ascii="Century Gothic" w:hAnsi="Century Gothic"/>
        </w:rPr>
        <w:t xml:space="preserve"> uma pessoa coletiva de direito público, dotada de</w:t>
      </w:r>
      <w:r>
        <w:rPr>
          <w:rFonts w:ascii="Century Gothic" w:hAnsi="Century Gothic"/>
        </w:rPr>
        <w:t xml:space="preserve"> fundo escolar com</w:t>
      </w:r>
      <w:r w:rsidRPr="0033691D">
        <w:rPr>
          <w:rFonts w:ascii="Century Gothic" w:hAnsi="Century Gothic"/>
        </w:rPr>
        <w:t xml:space="preserve"> autonomia administrativa e financeira, sob a tutela da </w:t>
      </w:r>
      <w:r>
        <w:rPr>
          <w:rFonts w:ascii="Century Gothic" w:hAnsi="Century Gothic"/>
        </w:rPr>
        <w:t>Direção Regional da Educação</w:t>
      </w:r>
      <w:r w:rsidR="00672103">
        <w:rPr>
          <w:rFonts w:ascii="Century Gothic" w:hAnsi="Century Gothic"/>
        </w:rPr>
        <w:t xml:space="preserve"> e Administração Educativa</w:t>
      </w:r>
      <w:r w:rsidRPr="0033691D">
        <w:rPr>
          <w:rFonts w:ascii="Century Gothic" w:hAnsi="Century Gothic"/>
        </w:rPr>
        <w:t>.</w:t>
      </w:r>
      <w:r>
        <w:rPr>
          <w:rFonts w:ascii="Century Gothic" w:hAnsi="Century Gothic"/>
        </w:rPr>
        <w:t xml:space="preserve"> Toda a gestão financeira da Escola é feita através deste fundo.</w:t>
      </w:r>
    </w:p>
    <w:p w:rsidR="002F5621" w:rsidRDefault="002F5621" w:rsidP="00EF571E">
      <w:pPr>
        <w:pStyle w:val="PargrafodaLista"/>
        <w:ind w:left="0"/>
        <w:jc w:val="both"/>
        <w:rPr>
          <w:rFonts w:ascii="Century Gothic" w:hAnsi="Century Gothic"/>
          <w:b/>
        </w:rPr>
      </w:pPr>
    </w:p>
    <w:p w:rsidR="002F5621" w:rsidRDefault="002F5621" w:rsidP="00EF571E">
      <w:pPr>
        <w:pStyle w:val="PargrafodaLista"/>
        <w:ind w:left="0"/>
        <w:jc w:val="both"/>
        <w:rPr>
          <w:rFonts w:ascii="Century Gothic" w:hAnsi="Century Gothic"/>
          <w:b/>
        </w:rPr>
      </w:pPr>
    </w:p>
    <w:p w:rsidR="00705862" w:rsidRPr="00705862" w:rsidRDefault="00705862" w:rsidP="00EF571E">
      <w:pPr>
        <w:pStyle w:val="PargrafodaLista"/>
        <w:ind w:left="0"/>
        <w:jc w:val="both"/>
        <w:rPr>
          <w:rFonts w:ascii="Century Gothic" w:hAnsi="Century Gothic"/>
          <w:b/>
        </w:rPr>
      </w:pPr>
      <w:r>
        <w:rPr>
          <w:rFonts w:ascii="Century Gothic" w:hAnsi="Century Gothic"/>
          <w:b/>
        </w:rPr>
        <w:t>2.1 - Identificação</w:t>
      </w:r>
    </w:p>
    <w:p w:rsidR="00EF571E" w:rsidRDefault="00EF571E" w:rsidP="00EF571E">
      <w:pPr>
        <w:pStyle w:val="Corpodetexto2"/>
        <w:spacing w:line="240" w:lineRule="auto"/>
        <w:rPr>
          <w:rFonts w:ascii="Euphemia" w:hAnsi="Euphemia"/>
          <w:b/>
          <w:szCs w:val="22"/>
        </w:rPr>
      </w:pPr>
    </w:p>
    <w:p w:rsidR="00EF571E" w:rsidRDefault="00853E06" w:rsidP="00EF571E">
      <w:pPr>
        <w:widowControl/>
        <w:jc w:val="both"/>
        <w:rPr>
          <w:rFonts w:ascii="Century Gothic" w:hAnsi="Century Gothic"/>
        </w:rPr>
      </w:pPr>
      <w:r>
        <w:rPr>
          <w:rFonts w:ascii="Century Gothic" w:hAnsi="Century Gothic"/>
        </w:rPr>
        <w:t xml:space="preserve">Fundo Escolar da </w:t>
      </w:r>
      <w:r w:rsidR="00F57C3D">
        <w:rPr>
          <w:rFonts w:ascii="Century Gothic" w:hAnsi="Century Gothic"/>
        </w:rPr>
        <w:t>Escola Profissional de Capelas (</w:t>
      </w:r>
      <w:r>
        <w:rPr>
          <w:rFonts w:ascii="Century Gothic" w:hAnsi="Century Gothic"/>
        </w:rPr>
        <w:t xml:space="preserve">FE </w:t>
      </w:r>
      <w:r w:rsidR="00F57C3D">
        <w:rPr>
          <w:rFonts w:ascii="Century Gothic" w:hAnsi="Century Gothic"/>
        </w:rPr>
        <w:t>EPC)</w:t>
      </w:r>
    </w:p>
    <w:p w:rsidR="00F57C3D" w:rsidRDefault="00F57C3D" w:rsidP="00EF571E">
      <w:pPr>
        <w:widowControl/>
        <w:jc w:val="both"/>
        <w:rPr>
          <w:rFonts w:ascii="Century Gothic" w:hAnsi="Century Gothic"/>
        </w:rPr>
      </w:pPr>
      <w:r>
        <w:rPr>
          <w:rFonts w:ascii="Century Gothic" w:hAnsi="Century Gothic"/>
        </w:rPr>
        <w:t>Quinta do Navio</w:t>
      </w:r>
    </w:p>
    <w:p w:rsidR="00F57C3D" w:rsidRDefault="00F57C3D" w:rsidP="00EF571E">
      <w:pPr>
        <w:widowControl/>
        <w:jc w:val="both"/>
        <w:rPr>
          <w:rFonts w:ascii="Century Gothic" w:hAnsi="Century Gothic"/>
        </w:rPr>
      </w:pPr>
      <w:r>
        <w:rPr>
          <w:rFonts w:ascii="Century Gothic" w:hAnsi="Century Gothic"/>
        </w:rPr>
        <w:t>9545-140 Capelas</w:t>
      </w:r>
    </w:p>
    <w:p w:rsidR="00F57C3D" w:rsidRDefault="00F57C3D" w:rsidP="00EF571E">
      <w:pPr>
        <w:widowControl/>
        <w:jc w:val="both"/>
        <w:rPr>
          <w:rFonts w:ascii="Century Gothic" w:hAnsi="Century Gothic"/>
        </w:rPr>
      </w:pPr>
    </w:p>
    <w:p w:rsidR="00F57C3D" w:rsidRDefault="00F57C3D" w:rsidP="00EF571E">
      <w:pPr>
        <w:widowControl/>
        <w:jc w:val="both"/>
        <w:rPr>
          <w:rFonts w:ascii="Century Gothic" w:hAnsi="Century Gothic"/>
        </w:rPr>
      </w:pPr>
      <w:r>
        <w:rPr>
          <w:rFonts w:ascii="Century Gothic" w:hAnsi="Century Gothic"/>
        </w:rPr>
        <w:t>Número de identificação fiscal</w:t>
      </w:r>
      <w:r w:rsidR="00853E06">
        <w:rPr>
          <w:rFonts w:ascii="Century Gothic" w:hAnsi="Century Gothic"/>
        </w:rPr>
        <w:t xml:space="preserve"> da EPC</w:t>
      </w:r>
      <w:r>
        <w:rPr>
          <w:rFonts w:ascii="Century Gothic" w:hAnsi="Century Gothic"/>
        </w:rPr>
        <w:t>: 672 002 060</w:t>
      </w:r>
    </w:p>
    <w:p w:rsidR="00F57C3D" w:rsidRDefault="00F57C3D" w:rsidP="00EF571E">
      <w:pPr>
        <w:widowControl/>
        <w:jc w:val="both"/>
        <w:rPr>
          <w:rFonts w:ascii="Century Gothic" w:hAnsi="Century Gothic"/>
        </w:rPr>
      </w:pPr>
      <w:r>
        <w:rPr>
          <w:rFonts w:ascii="Century Gothic" w:hAnsi="Century Gothic"/>
        </w:rPr>
        <w:t>Telefone: 296 298 220</w:t>
      </w:r>
    </w:p>
    <w:p w:rsidR="00F57C3D" w:rsidRPr="00672103" w:rsidRDefault="00F57C3D" w:rsidP="00EF571E">
      <w:pPr>
        <w:widowControl/>
        <w:jc w:val="both"/>
        <w:rPr>
          <w:rFonts w:ascii="Century Gothic" w:hAnsi="Century Gothic"/>
        </w:rPr>
      </w:pPr>
      <w:r>
        <w:rPr>
          <w:rFonts w:ascii="Century Gothic" w:hAnsi="Century Gothic"/>
        </w:rPr>
        <w:t>Email</w:t>
      </w:r>
      <w:r w:rsidR="00853E06">
        <w:rPr>
          <w:rFonts w:ascii="Century Gothic" w:hAnsi="Century Gothic"/>
        </w:rPr>
        <w:t xml:space="preserve"> da EPC</w:t>
      </w:r>
      <w:r>
        <w:rPr>
          <w:rFonts w:ascii="Century Gothic" w:hAnsi="Century Gothic"/>
        </w:rPr>
        <w:t xml:space="preserve">: </w:t>
      </w:r>
      <w:hyperlink r:id="rId11" w:history="1">
        <w:r w:rsidRPr="00756608">
          <w:rPr>
            <w:rStyle w:val="Hiperligao"/>
            <w:rFonts w:ascii="Century Gothic" w:hAnsi="Century Gothic"/>
          </w:rPr>
          <w:t>esc.prof.capelas@azores.gov.pt</w:t>
        </w:r>
      </w:hyperlink>
      <w:r w:rsidR="00672103">
        <w:rPr>
          <w:rStyle w:val="Hiperligao"/>
          <w:rFonts w:ascii="Century Gothic" w:hAnsi="Century Gothic"/>
          <w:u w:val="none"/>
        </w:rPr>
        <w:t xml:space="preserve"> </w:t>
      </w:r>
      <w:r w:rsidR="00672103" w:rsidRPr="00672103">
        <w:rPr>
          <w:rStyle w:val="Hiperligao"/>
          <w:rFonts w:ascii="Century Gothic" w:hAnsi="Century Gothic"/>
          <w:color w:val="auto"/>
          <w:u w:val="none"/>
        </w:rPr>
        <w:t>(desativado</w:t>
      </w:r>
      <w:r w:rsidR="00672103">
        <w:rPr>
          <w:rStyle w:val="Hiperligao"/>
          <w:rFonts w:ascii="Century Gothic" w:hAnsi="Century Gothic"/>
          <w:color w:val="auto"/>
          <w:u w:val="none"/>
        </w:rPr>
        <w:t>, atualmente é cqa@azores.gov.pt</w:t>
      </w:r>
      <w:r w:rsidR="00672103" w:rsidRPr="00672103">
        <w:rPr>
          <w:rStyle w:val="Hiperligao"/>
          <w:rFonts w:ascii="Century Gothic" w:hAnsi="Century Gothic"/>
          <w:color w:val="auto"/>
          <w:u w:val="none"/>
        </w:rPr>
        <w:t>)</w:t>
      </w:r>
    </w:p>
    <w:p w:rsidR="00F57C3D" w:rsidRDefault="00F57C3D" w:rsidP="00EF571E">
      <w:pPr>
        <w:widowControl/>
        <w:jc w:val="both"/>
        <w:rPr>
          <w:rFonts w:ascii="Century Gothic" w:hAnsi="Century Gothic"/>
        </w:rPr>
      </w:pPr>
    </w:p>
    <w:p w:rsidR="00F57C3D" w:rsidRDefault="00F57C3D" w:rsidP="00EF571E">
      <w:pPr>
        <w:widowControl/>
        <w:jc w:val="both"/>
        <w:rPr>
          <w:rFonts w:ascii="Century Gothic" w:hAnsi="Century Gothic"/>
        </w:rPr>
      </w:pPr>
      <w:r>
        <w:rPr>
          <w:rFonts w:ascii="Century Gothic" w:hAnsi="Century Gothic"/>
        </w:rPr>
        <w:t>Identificação em GERFIP: A550 FE EP de Capelas</w:t>
      </w:r>
    </w:p>
    <w:p w:rsidR="009A3EDF" w:rsidRDefault="009A3EDF" w:rsidP="00EF571E">
      <w:pPr>
        <w:widowControl/>
        <w:jc w:val="both"/>
        <w:rPr>
          <w:rFonts w:ascii="Century Gothic" w:hAnsi="Century Gothic"/>
        </w:rPr>
      </w:pPr>
    </w:p>
    <w:p w:rsidR="009A3EDF" w:rsidRDefault="009A3EDF" w:rsidP="00EF571E">
      <w:pPr>
        <w:widowControl/>
        <w:jc w:val="both"/>
        <w:rPr>
          <w:rFonts w:ascii="Century Gothic" w:hAnsi="Century Gothic"/>
        </w:rPr>
      </w:pPr>
    </w:p>
    <w:p w:rsidR="009A3EDF" w:rsidRPr="00705862" w:rsidRDefault="009A3EDF" w:rsidP="009A3EDF">
      <w:pPr>
        <w:pStyle w:val="PargrafodaLista"/>
        <w:ind w:left="0"/>
        <w:jc w:val="both"/>
        <w:rPr>
          <w:rFonts w:ascii="Century Gothic" w:hAnsi="Century Gothic"/>
          <w:b/>
        </w:rPr>
      </w:pPr>
      <w:r>
        <w:rPr>
          <w:rFonts w:ascii="Century Gothic" w:hAnsi="Century Gothic"/>
          <w:b/>
        </w:rPr>
        <w:t>2.2 - Legislação</w:t>
      </w:r>
    </w:p>
    <w:p w:rsidR="009A3EDF" w:rsidRDefault="009A3EDF" w:rsidP="00EF571E">
      <w:pPr>
        <w:widowControl/>
        <w:jc w:val="both"/>
        <w:rPr>
          <w:rFonts w:ascii="Century Gothic" w:hAnsi="Century Gothic"/>
        </w:rPr>
      </w:pPr>
    </w:p>
    <w:p w:rsidR="009A3EDF" w:rsidRDefault="009A3EDF" w:rsidP="00EF571E">
      <w:pPr>
        <w:widowControl/>
        <w:jc w:val="both"/>
        <w:rPr>
          <w:rFonts w:ascii="Century Gothic" w:hAnsi="Century Gothic"/>
        </w:rPr>
      </w:pPr>
      <w:r>
        <w:rPr>
          <w:rFonts w:ascii="Century Gothic" w:hAnsi="Century Gothic"/>
        </w:rPr>
        <w:t xml:space="preserve">A organização e o funcionamento da Escola Profissional de Capelas estão definidos no Decreto Regulamentar Regional n.º 5/2010/A, publicado no Diário da República, 1.ª série, n.º 58, a 24 de março de 2010. </w:t>
      </w:r>
    </w:p>
    <w:p w:rsidR="009A3EDF" w:rsidRDefault="009A3EDF" w:rsidP="00EF571E">
      <w:pPr>
        <w:widowControl/>
        <w:jc w:val="both"/>
        <w:rPr>
          <w:rFonts w:ascii="Century Gothic" w:hAnsi="Century Gothic"/>
        </w:rPr>
      </w:pPr>
    </w:p>
    <w:p w:rsidR="009A3EDF" w:rsidRDefault="009A3EDF" w:rsidP="00EF571E">
      <w:pPr>
        <w:widowControl/>
        <w:jc w:val="both"/>
        <w:rPr>
          <w:rFonts w:ascii="Century Gothic" w:hAnsi="Century Gothic"/>
        </w:rPr>
      </w:pPr>
    </w:p>
    <w:p w:rsidR="009A3EDF" w:rsidRPr="00705862" w:rsidRDefault="009A3EDF" w:rsidP="009A3EDF">
      <w:pPr>
        <w:pStyle w:val="PargrafodaLista"/>
        <w:ind w:left="0"/>
        <w:jc w:val="both"/>
        <w:rPr>
          <w:rFonts w:ascii="Century Gothic" w:hAnsi="Century Gothic"/>
          <w:b/>
        </w:rPr>
      </w:pPr>
      <w:r>
        <w:rPr>
          <w:rFonts w:ascii="Century Gothic" w:hAnsi="Century Gothic"/>
          <w:b/>
        </w:rPr>
        <w:t>2.3 – Estrutura organizacional</w:t>
      </w:r>
    </w:p>
    <w:p w:rsidR="009A3EDF" w:rsidRDefault="009A3EDF" w:rsidP="00EF571E">
      <w:pPr>
        <w:widowControl/>
        <w:jc w:val="both"/>
        <w:rPr>
          <w:rFonts w:ascii="Century Gothic" w:hAnsi="Century Gothic"/>
        </w:rPr>
      </w:pPr>
    </w:p>
    <w:p w:rsidR="003031A2" w:rsidRPr="00EB244D" w:rsidRDefault="003031A2" w:rsidP="003031A2">
      <w:pPr>
        <w:jc w:val="both"/>
        <w:rPr>
          <w:rFonts w:ascii="Century Gothic" w:hAnsi="Century Gothic"/>
        </w:rPr>
      </w:pPr>
      <w:r w:rsidRPr="00EB244D">
        <w:rPr>
          <w:rFonts w:ascii="Century Gothic" w:hAnsi="Century Gothic"/>
        </w:rPr>
        <w:t xml:space="preserve">Órgãos da EPC: </w:t>
      </w:r>
    </w:p>
    <w:p w:rsidR="003031A2" w:rsidRPr="00EB244D" w:rsidRDefault="003031A2" w:rsidP="003031A2">
      <w:pPr>
        <w:jc w:val="both"/>
        <w:rPr>
          <w:rFonts w:ascii="Century Gothic" w:hAnsi="Century Gothic"/>
        </w:rPr>
      </w:pPr>
      <w:r w:rsidRPr="00EB244D">
        <w:rPr>
          <w:rFonts w:ascii="Century Gothic" w:hAnsi="Century Gothic"/>
        </w:rPr>
        <w:t xml:space="preserve">a) A assembleia; </w:t>
      </w:r>
    </w:p>
    <w:p w:rsidR="003031A2" w:rsidRPr="00EB244D" w:rsidRDefault="003031A2" w:rsidP="003031A2">
      <w:pPr>
        <w:jc w:val="both"/>
        <w:rPr>
          <w:rFonts w:ascii="Century Gothic" w:hAnsi="Century Gothic"/>
        </w:rPr>
      </w:pPr>
      <w:r w:rsidRPr="00EB244D">
        <w:rPr>
          <w:rFonts w:ascii="Century Gothic" w:hAnsi="Century Gothic"/>
        </w:rPr>
        <w:t xml:space="preserve">b) A direção executiva; </w:t>
      </w:r>
    </w:p>
    <w:p w:rsidR="003031A2" w:rsidRPr="00EB244D" w:rsidRDefault="003031A2" w:rsidP="003031A2">
      <w:pPr>
        <w:jc w:val="both"/>
        <w:rPr>
          <w:rFonts w:ascii="Century Gothic" w:hAnsi="Century Gothic"/>
        </w:rPr>
      </w:pPr>
      <w:r w:rsidRPr="00EB244D">
        <w:rPr>
          <w:rFonts w:ascii="Century Gothic" w:hAnsi="Century Gothic"/>
        </w:rPr>
        <w:t xml:space="preserve">c) O conselho pedagógico; </w:t>
      </w:r>
    </w:p>
    <w:p w:rsidR="003031A2" w:rsidRDefault="003031A2" w:rsidP="003031A2">
      <w:pPr>
        <w:jc w:val="both"/>
        <w:rPr>
          <w:rFonts w:ascii="Century Gothic" w:hAnsi="Century Gothic"/>
        </w:rPr>
      </w:pPr>
      <w:r w:rsidRPr="00EB244D">
        <w:rPr>
          <w:rFonts w:ascii="Century Gothic" w:hAnsi="Century Gothic"/>
        </w:rPr>
        <w:t xml:space="preserve">d) O conselho administrativo. </w:t>
      </w:r>
    </w:p>
    <w:p w:rsidR="003031A2" w:rsidRDefault="003031A2" w:rsidP="00D4393D">
      <w:pPr>
        <w:jc w:val="both"/>
        <w:rPr>
          <w:rFonts w:ascii="Century Gothic" w:hAnsi="Century Gothic"/>
        </w:rPr>
      </w:pPr>
    </w:p>
    <w:p w:rsidR="00D4393D" w:rsidRDefault="00D4393D" w:rsidP="00D4393D">
      <w:pPr>
        <w:jc w:val="both"/>
        <w:rPr>
          <w:rFonts w:ascii="Century Gothic" w:hAnsi="Century Gothic"/>
        </w:rPr>
      </w:pPr>
      <w:r>
        <w:rPr>
          <w:rFonts w:ascii="Century Gothic" w:hAnsi="Century Gothic"/>
        </w:rPr>
        <w:t>Organograma:</w:t>
      </w:r>
    </w:p>
    <w:p w:rsidR="00282D21" w:rsidRDefault="00282D21" w:rsidP="00D4393D">
      <w:pPr>
        <w:jc w:val="both"/>
        <w:rPr>
          <w:rFonts w:ascii="Century Gothic" w:hAnsi="Century Gothic"/>
        </w:rPr>
      </w:pPr>
    </w:p>
    <w:p w:rsidR="00282D21" w:rsidRDefault="009B1D38" w:rsidP="00D4393D">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59776" behindDoc="0" locked="0" layoutInCell="1" allowOverlap="1" wp14:anchorId="7F88B98E" wp14:editId="3B437CF0">
                <wp:simplePos x="0" y="0"/>
                <wp:positionH relativeFrom="page">
                  <wp:posOffset>3074035</wp:posOffset>
                </wp:positionH>
                <wp:positionV relativeFrom="page">
                  <wp:posOffset>7837170</wp:posOffset>
                </wp:positionV>
                <wp:extent cx="1666875" cy="409575"/>
                <wp:effectExtent l="0" t="0" r="28575" b="28575"/>
                <wp:wrapNone/>
                <wp:docPr id="4" name="Retângulo 4"/>
                <wp:cNvGraphicFramePr/>
                <a:graphic xmlns:a="http://schemas.openxmlformats.org/drawingml/2006/main">
                  <a:graphicData uri="http://schemas.microsoft.com/office/word/2010/wordprocessingShape">
                    <wps:wsp>
                      <wps:cNvSpPr/>
                      <wps:spPr>
                        <a:xfrm>
                          <a:off x="0" y="0"/>
                          <a:ext cx="1666875" cy="409575"/>
                        </a:xfrm>
                        <a:prstGeom prst="rect">
                          <a:avLst/>
                        </a:prstGeom>
                      </wps:spPr>
                      <wps:style>
                        <a:lnRef idx="2">
                          <a:schemeClr val="dk1"/>
                        </a:lnRef>
                        <a:fillRef idx="1">
                          <a:schemeClr val="lt1"/>
                        </a:fillRef>
                        <a:effectRef idx="0">
                          <a:schemeClr val="dk1"/>
                        </a:effectRef>
                        <a:fontRef idx="minor">
                          <a:schemeClr val="dk1"/>
                        </a:fontRef>
                      </wps:style>
                      <wps:txbx>
                        <w:txbxContent>
                          <w:p w:rsidR="002F70E4" w:rsidRPr="003031A2" w:rsidRDefault="002F70E4" w:rsidP="00D4393D">
                            <w:pPr>
                              <w:jc w:val="center"/>
                            </w:pPr>
                            <w:r w:rsidRPr="003031A2">
                              <w:t>Direção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8B98E" id="Retângulo 4" o:spid="_x0000_s1027" style="position:absolute;left:0;text-align:left;margin-left:242.05pt;margin-top:617.1pt;width:131.25pt;height:32.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" fillcolor="white [3201]" strokecolor="black [3200]" strokeweight="1pt">
                <v:textbox>
                  <w:txbxContent>
                    <w:p w:rsidR="002F70E4" w:rsidRPr="003031A2" w:rsidRDefault="002F70E4" w:rsidP="00D4393D">
                      <w:pPr>
                        <w:jc w:val="center"/>
                      </w:pPr>
                      <w:r w:rsidRPr="003031A2">
                        <w:t>Direção</w:t>
                      </w:r>
                    </w:p>
                  </w:txbxContent>
                </v:textbox>
                <w10:wrap anchorx="page" anchory="page"/>
              </v:rect>
            </w:pict>
          </mc:Fallback>
        </mc:AlternateContent>
      </w:r>
    </w:p>
    <w:p w:rsidR="00D4393D" w:rsidRDefault="00D4393D" w:rsidP="0015492B">
      <w:pPr>
        <w:jc w:val="center"/>
        <w:rPr>
          <w:rFonts w:ascii="Century Gothic" w:hAnsi="Century Gothic"/>
          <w:b/>
        </w:rPr>
      </w:pPr>
      <w:r>
        <w:rPr>
          <w:rFonts w:ascii="Century Gothic" w:hAnsi="Century Gothic"/>
          <w:b/>
        </w:rPr>
        <w:tab/>
      </w:r>
      <w:r w:rsidR="00C53CA7">
        <w:rPr>
          <w:rFonts w:ascii="Century Gothic" w:hAnsi="Century Gothic"/>
          <w:b/>
          <w:noProof/>
        </w:rPr>
        <mc:AlternateContent>
          <mc:Choice Requires="wps">
            <w:drawing>
              <wp:anchor distT="0" distB="0" distL="114300" distR="114300" simplePos="0" relativeHeight="251663872" behindDoc="0" locked="0" layoutInCell="1" allowOverlap="1" wp14:anchorId="5657864A" wp14:editId="76C7AB62">
                <wp:simplePos x="0" y="0"/>
                <wp:positionH relativeFrom="column">
                  <wp:posOffset>3596640</wp:posOffset>
                </wp:positionH>
                <wp:positionV relativeFrom="paragraph">
                  <wp:posOffset>60324</wp:posOffset>
                </wp:positionV>
                <wp:extent cx="1095375" cy="352425"/>
                <wp:effectExtent l="0" t="0" r="28575" b="28575"/>
                <wp:wrapNone/>
                <wp:docPr id="13" name="Conexão reta 13"/>
                <wp:cNvGraphicFramePr/>
                <a:graphic xmlns:a="http://schemas.openxmlformats.org/drawingml/2006/main">
                  <a:graphicData uri="http://schemas.microsoft.com/office/word/2010/wordprocessingShape">
                    <wps:wsp>
                      <wps:cNvCnPr/>
                      <wps:spPr>
                        <a:xfrm>
                          <a:off x="0" y="0"/>
                          <a:ext cx="1095375"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47B39" id="Conexão reta 1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2pt,4.75pt" to="369.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" strokecolor="black [3200]" strokeweight=".5pt">
                <v:stroke joinstyle="miter"/>
              </v:line>
            </w:pict>
          </mc:Fallback>
        </mc:AlternateContent>
      </w:r>
      <w:r w:rsidR="00C53CA7">
        <w:rPr>
          <w:rFonts w:ascii="Century Gothic" w:hAnsi="Century Gothic"/>
          <w:b/>
          <w:noProof/>
        </w:rPr>
        <mc:AlternateContent>
          <mc:Choice Requires="wps">
            <w:drawing>
              <wp:anchor distT="0" distB="0" distL="114300" distR="114300" simplePos="0" relativeHeight="251662848" behindDoc="0" locked="0" layoutInCell="1" allowOverlap="1" wp14:anchorId="1498A4BF" wp14:editId="3EF4F493">
                <wp:simplePos x="0" y="0"/>
                <wp:positionH relativeFrom="column">
                  <wp:posOffset>3148964</wp:posOffset>
                </wp:positionH>
                <wp:positionV relativeFrom="paragraph">
                  <wp:posOffset>50799</wp:posOffset>
                </wp:positionV>
                <wp:extent cx="257175" cy="352425"/>
                <wp:effectExtent l="0" t="0" r="28575" b="28575"/>
                <wp:wrapNone/>
                <wp:docPr id="12" name="Conexão reta 12"/>
                <wp:cNvGraphicFramePr/>
                <a:graphic xmlns:a="http://schemas.openxmlformats.org/drawingml/2006/main">
                  <a:graphicData uri="http://schemas.microsoft.com/office/word/2010/wordprocessingShape">
                    <wps:wsp>
                      <wps:cNvCnPr/>
                      <wps:spPr>
                        <a:xfrm>
                          <a:off x="0" y="0"/>
                          <a:ext cx="257175"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8FE21" id="Conexão reta 1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5pt,4pt" to="268.2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" strokecolor="black [3200]" strokeweight=".5pt">
                <v:stroke joinstyle="miter"/>
              </v:line>
            </w:pict>
          </mc:Fallback>
        </mc:AlternateContent>
      </w:r>
      <w:r w:rsidR="00282D21">
        <w:rPr>
          <w:rFonts w:ascii="Century Gothic" w:hAnsi="Century Gothic"/>
          <w:b/>
          <w:noProof/>
        </w:rPr>
        <mc:AlternateContent>
          <mc:Choice Requires="wps">
            <w:drawing>
              <wp:anchor distT="0" distB="0" distL="114300" distR="114300" simplePos="0" relativeHeight="251661824" behindDoc="0" locked="0" layoutInCell="1" allowOverlap="1" wp14:anchorId="7F82C51A" wp14:editId="56D06AA8">
                <wp:simplePos x="0" y="0"/>
                <wp:positionH relativeFrom="column">
                  <wp:posOffset>1910714</wp:posOffset>
                </wp:positionH>
                <wp:positionV relativeFrom="paragraph">
                  <wp:posOffset>50800</wp:posOffset>
                </wp:positionV>
                <wp:extent cx="485775" cy="381000"/>
                <wp:effectExtent l="0" t="0" r="28575" b="19050"/>
                <wp:wrapNone/>
                <wp:docPr id="8" name="Conexão reta 8"/>
                <wp:cNvGraphicFramePr/>
                <a:graphic xmlns:a="http://schemas.openxmlformats.org/drawingml/2006/main">
                  <a:graphicData uri="http://schemas.microsoft.com/office/word/2010/wordprocessingShape">
                    <wps:wsp>
                      <wps:cNvCnPr/>
                      <wps:spPr>
                        <a:xfrm flipH="1">
                          <a:off x="0" y="0"/>
                          <a:ext cx="48577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BC215" id="Conexão reta 8"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45pt,4pt" to="188.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" strokecolor="black [3200]" strokeweight=".5pt">
                <v:stroke joinstyle="miter"/>
              </v:line>
            </w:pict>
          </mc:Fallback>
        </mc:AlternateContent>
      </w:r>
      <w:r w:rsidR="00672103">
        <w:rPr>
          <w:rFonts w:ascii="Century Gothic" w:hAnsi="Century Gothic"/>
          <w:b/>
          <w:noProof/>
        </w:rPr>
        <mc:AlternateContent>
          <mc:Choice Requires="wps">
            <w:drawing>
              <wp:anchor distT="0" distB="0" distL="114300" distR="114300" simplePos="0" relativeHeight="251660800" behindDoc="0" locked="0" layoutInCell="1" allowOverlap="1" wp14:anchorId="6506BB05" wp14:editId="4E41A8B9">
                <wp:simplePos x="0" y="0"/>
                <wp:positionH relativeFrom="column">
                  <wp:posOffset>272415</wp:posOffset>
                </wp:positionH>
                <wp:positionV relativeFrom="paragraph">
                  <wp:posOffset>50800</wp:posOffset>
                </wp:positionV>
                <wp:extent cx="1762125" cy="390525"/>
                <wp:effectExtent l="0" t="0" r="28575" b="28575"/>
                <wp:wrapNone/>
                <wp:docPr id="9" name="Conexão reta 9"/>
                <wp:cNvGraphicFramePr/>
                <a:graphic xmlns:a="http://schemas.openxmlformats.org/drawingml/2006/main">
                  <a:graphicData uri="http://schemas.microsoft.com/office/word/2010/wordprocessingShape">
                    <wps:wsp>
                      <wps:cNvCnPr/>
                      <wps:spPr>
                        <a:xfrm flipH="1">
                          <a:off x="0" y="0"/>
                          <a:ext cx="1762125"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19ABF" id="Conexão reta 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4pt" to="160.2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" strokecolor="black [3200]" strokeweight=".5pt">
                <v:stroke joinstyle="miter"/>
              </v:line>
            </w:pict>
          </mc:Fallback>
        </mc:AlternateContent>
      </w:r>
      <w:r>
        <w:rPr>
          <w:rFonts w:ascii="Century Gothic" w:hAnsi="Century Gothic"/>
          <w:b/>
        </w:rPr>
        <w:t xml:space="preserve">                                                                           </w:t>
      </w:r>
    </w:p>
    <w:p w:rsidR="00D4393D" w:rsidRDefault="00D4393D" w:rsidP="00D4393D">
      <w:pPr>
        <w:spacing w:before="60" w:after="60"/>
        <w:jc w:val="both"/>
        <w:rPr>
          <w:rFonts w:ascii="Century Gothic" w:hAnsi="Century Gothic"/>
          <w:b/>
        </w:rPr>
      </w:pPr>
    </w:p>
    <w:p w:rsidR="00F57C3D" w:rsidRDefault="00C53CA7" w:rsidP="00EF571E">
      <w:pPr>
        <w:widowControl/>
        <w:jc w:val="both"/>
        <w:rPr>
          <w:rFonts w:ascii="Century Gothic" w:hAnsi="Century Gothic"/>
        </w:rPr>
      </w:pPr>
      <w:r>
        <w:rPr>
          <w:rFonts w:ascii="Century Gothic" w:hAnsi="Century Gothic"/>
          <w:b/>
          <w:noProof/>
        </w:rPr>
        <mc:AlternateContent>
          <mc:Choice Requires="wps">
            <w:drawing>
              <wp:anchor distT="0" distB="0" distL="114300" distR="114300" simplePos="0" relativeHeight="251667968" behindDoc="0" locked="0" layoutInCell="1" allowOverlap="1" wp14:anchorId="7F5985D7" wp14:editId="2870748E">
                <wp:simplePos x="0" y="0"/>
                <wp:positionH relativeFrom="column">
                  <wp:posOffset>4053840</wp:posOffset>
                </wp:positionH>
                <wp:positionV relativeFrom="paragraph">
                  <wp:posOffset>2540</wp:posOffset>
                </wp:positionV>
                <wp:extent cx="1295400" cy="438150"/>
                <wp:effectExtent l="0" t="0" r="19050" b="19050"/>
                <wp:wrapNone/>
                <wp:docPr id="11" name="Caixa de texto 11"/>
                <wp:cNvGraphicFramePr/>
                <a:graphic xmlns:a="http://schemas.openxmlformats.org/drawingml/2006/main">
                  <a:graphicData uri="http://schemas.microsoft.com/office/word/2010/wordprocessingShape">
                    <wps:wsp>
                      <wps:cNvSpPr txBox="1"/>
                      <wps:spPr>
                        <a:xfrm>
                          <a:off x="0" y="0"/>
                          <a:ext cx="12954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0E4" w:rsidRDefault="002F70E4" w:rsidP="00D4393D">
                            <w:pPr>
                              <w:jc w:val="center"/>
                            </w:pPr>
                            <w:r>
                              <w:t>Enc. do pessoal de apoio educativo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985D7" id="_x0000_t202" coordsize="21600,21600" o:spt="202" path="m,l,21600r21600,l21600,xe">
                <v:stroke joinstyle="miter"/>
                <v:path gradientshapeok="t" o:connecttype="rect"/>
              </v:shapetype>
              <v:shape id="Caixa de texto 11" o:spid="_x0000_s1028" type="#_x0000_t202" style="position:absolute;left:0;text-align:left;margin-left:319.2pt;margin-top:.2pt;width:102pt;height: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" fillcolor="white [3201]" strokeweight=".5pt">
                <v:textbox>
                  <w:txbxContent>
                    <w:p w:rsidR="002F70E4" w:rsidRDefault="002F70E4" w:rsidP="00D4393D">
                      <w:pPr>
                        <w:jc w:val="center"/>
                      </w:pPr>
                      <w:r>
                        <w:t>Enc. do pessoal de apoio educativo</w:t>
                      </w:r>
                    </w:p>
                  </w:txbxContent>
                </v:textbox>
              </v:shape>
            </w:pict>
          </mc:Fallback>
        </mc:AlternateContent>
      </w:r>
      <w:r>
        <w:rPr>
          <w:rFonts w:ascii="Century Gothic" w:hAnsi="Century Gothic"/>
          <w:b/>
          <w:noProof/>
        </w:rPr>
        <mc:AlternateContent>
          <mc:Choice Requires="wps">
            <w:drawing>
              <wp:anchor distT="0" distB="0" distL="114300" distR="114300" simplePos="0" relativeHeight="251666944" behindDoc="0" locked="0" layoutInCell="1" allowOverlap="1" wp14:anchorId="683B3493" wp14:editId="425CDC78">
                <wp:simplePos x="0" y="0"/>
                <wp:positionH relativeFrom="column">
                  <wp:posOffset>2691765</wp:posOffset>
                </wp:positionH>
                <wp:positionV relativeFrom="paragraph">
                  <wp:posOffset>2540</wp:posOffset>
                </wp:positionV>
                <wp:extent cx="1038225" cy="419100"/>
                <wp:effectExtent l="0" t="0" r="28575" b="19050"/>
                <wp:wrapNone/>
                <wp:docPr id="7" name="Caixa de texto 7"/>
                <wp:cNvGraphicFramePr/>
                <a:graphic xmlns:a="http://schemas.openxmlformats.org/drawingml/2006/main">
                  <a:graphicData uri="http://schemas.microsoft.com/office/word/2010/wordprocessingShape">
                    <wps:wsp>
                      <wps:cNvSpPr txBox="1"/>
                      <wps:spPr>
                        <a:xfrm>
                          <a:off x="0" y="0"/>
                          <a:ext cx="10382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0E4" w:rsidRDefault="002F70E4" w:rsidP="00D4393D">
                            <w:pPr>
                              <w:jc w:val="center"/>
                            </w:pPr>
                            <w:r>
                              <w:t>Serviços Administrativos</w:t>
                            </w:r>
                          </w:p>
                          <w:p w:rsidR="002F70E4" w:rsidRDefault="002F70E4" w:rsidP="00D439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B3493" id="Caixa de texto 7" o:spid="_x0000_s1029" type="#_x0000_t202" style="position:absolute;left:0;text-align:left;margin-left:211.95pt;margin-top:.2pt;width:81.75pt;height: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" fillcolor="white [3201]" strokeweight=".5pt">
                <v:textbox>
                  <w:txbxContent>
                    <w:p w:rsidR="002F70E4" w:rsidRDefault="002F70E4" w:rsidP="00D4393D">
                      <w:pPr>
                        <w:jc w:val="center"/>
                      </w:pPr>
                      <w:r>
                        <w:t>Serviços Administrativos</w:t>
                      </w:r>
                    </w:p>
                    <w:p w:rsidR="002F70E4" w:rsidRDefault="002F70E4" w:rsidP="00D4393D"/>
                  </w:txbxContent>
                </v:textbox>
              </v:shape>
            </w:pict>
          </mc:Fallback>
        </mc:AlternateContent>
      </w:r>
      <w:r>
        <w:rPr>
          <w:rFonts w:ascii="Century Gothic" w:hAnsi="Century Gothic"/>
          <w:b/>
          <w:noProof/>
        </w:rPr>
        <mc:AlternateContent>
          <mc:Choice Requires="wps">
            <w:drawing>
              <wp:anchor distT="0" distB="0" distL="114300" distR="114300" simplePos="0" relativeHeight="251665920" behindDoc="0" locked="0" layoutInCell="1" allowOverlap="1" wp14:anchorId="36BCADE9" wp14:editId="7F688820">
                <wp:simplePos x="0" y="0"/>
                <wp:positionH relativeFrom="column">
                  <wp:posOffset>1215390</wp:posOffset>
                </wp:positionH>
                <wp:positionV relativeFrom="paragraph">
                  <wp:posOffset>6350</wp:posOffset>
                </wp:positionV>
                <wp:extent cx="1371600" cy="342900"/>
                <wp:effectExtent l="0" t="0" r="19050" b="19050"/>
                <wp:wrapNone/>
                <wp:docPr id="6" name="Caixa de texto 6"/>
                <wp:cNvGraphicFramePr/>
                <a:graphic xmlns:a="http://schemas.openxmlformats.org/drawingml/2006/main">
                  <a:graphicData uri="http://schemas.microsoft.com/office/word/2010/wordprocessingShape">
                    <wps:wsp>
                      <wps:cNvSpPr txBox="1"/>
                      <wps:spPr>
                        <a:xfrm>
                          <a:off x="0" y="0"/>
                          <a:ext cx="13716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0E4" w:rsidRDefault="002F70E4" w:rsidP="00D4393D">
                            <w:r>
                              <w:t>Serviços Financeiros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CADE9" id="Caixa de texto 6" o:spid="_x0000_s1030" type="#_x0000_t202" style="position:absolute;left:0;text-align:left;margin-left:95.7pt;margin-top:.5pt;width:108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" fillcolor="white [3201]" strokeweight=".5pt">
                <v:textbox>
                  <w:txbxContent>
                    <w:p w:rsidR="002F70E4" w:rsidRDefault="002F70E4" w:rsidP="00D4393D">
                      <w:r>
                        <w:t>Serviços Financeiros</w:t>
                      </w:r>
                    </w:p>
                  </w:txbxContent>
                </v:textbox>
              </v:shape>
            </w:pict>
          </mc:Fallback>
        </mc:AlternateContent>
      </w:r>
      <w:r>
        <w:rPr>
          <w:rFonts w:ascii="Century Gothic" w:hAnsi="Century Gothic"/>
          <w:b/>
          <w:noProof/>
        </w:rPr>
        <mc:AlternateContent>
          <mc:Choice Requires="wps">
            <w:drawing>
              <wp:anchor distT="0" distB="0" distL="114300" distR="114300" simplePos="0" relativeHeight="251664896" behindDoc="0" locked="0" layoutInCell="1" allowOverlap="1" wp14:anchorId="7D343157" wp14:editId="5655DAEE">
                <wp:simplePos x="0" y="0"/>
                <wp:positionH relativeFrom="column">
                  <wp:posOffset>34290</wp:posOffset>
                </wp:positionH>
                <wp:positionV relativeFrom="paragraph">
                  <wp:posOffset>6350</wp:posOffset>
                </wp:positionV>
                <wp:extent cx="1000125" cy="285750"/>
                <wp:effectExtent l="0" t="0" r="28575" b="19050"/>
                <wp:wrapNone/>
                <wp:docPr id="5" name="Caixa de texto 5"/>
                <wp:cNvGraphicFramePr/>
                <a:graphic xmlns:a="http://schemas.openxmlformats.org/drawingml/2006/main">
                  <a:graphicData uri="http://schemas.microsoft.com/office/word/2010/wordprocessingShape">
                    <wps:wsp>
                      <wps:cNvSpPr txBox="1"/>
                      <wps:spPr>
                        <a:xfrm>
                          <a:off x="0" y="0"/>
                          <a:ext cx="10001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0E4" w:rsidRDefault="002F70E4" w:rsidP="00D4393D">
                            <w:pPr>
                              <w:jc w:val="center"/>
                            </w:pPr>
                            <w:r>
                              <w:t>Formadores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43157" id="Caixa de texto 5" o:spid="_x0000_s1031" type="#_x0000_t202" style="position:absolute;left:0;text-align:left;margin-left:2.7pt;margin-top:.5pt;width:78.75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" fillcolor="white [3201]" strokeweight=".5pt">
                <v:textbox>
                  <w:txbxContent>
                    <w:p w:rsidR="002F70E4" w:rsidRDefault="002F70E4" w:rsidP="00D4393D">
                      <w:pPr>
                        <w:jc w:val="center"/>
                      </w:pPr>
                      <w:r>
                        <w:t>Formadores</w:t>
                      </w:r>
                    </w:p>
                  </w:txbxContent>
                </v:textbox>
              </v:shape>
            </w:pict>
          </mc:Fallback>
        </mc:AlternateContent>
      </w:r>
    </w:p>
    <w:p w:rsidR="00D4393D" w:rsidRDefault="00D4393D" w:rsidP="00EF571E">
      <w:pPr>
        <w:widowControl/>
        <w:jc w:val="both"/>
        <w:rPr>
          <w:rFonts w:ascii="Century Gothic" w:hAnsi="Century Gothic"/>
        </w:rPr>
      </w:pPr>
    </w:p>
    <w:p w:rsidR="00D4393D" w:rsidRDefault="00D4393D" w:rsidP="00EF571E">
      <w:pPr>
        <w:widowControl/>
        <w:jc w:val="both"/>
        <w:rPr>
          <w:rFonts w:ascii="Century Gothic" w:hAnsi="Century Gothic"/>
        </w:rPr>
      </w:pPr>
    </w:p>
    <w:p w:rsidR="00D4393D" w:rsidRDefault="00162AEE" w:rsidP="00EF571E">
      <w:pPr>
        <w:widowControl/>
        <w:jc w:val="both"/>
        <w:rPr>
          <w:rFonts w:ascii="Century Gothic" w:hAnsi="Century Gothic"/>
        </w:rPr>
      </w:pPr>
      <w:r>
        <w:rPr>
          <w:rFonts w:ascii="Century Gothic" w:hAnsi="Century Gothic"/>
          <w:b/>
          <w:noProof/>
        </w:rPr>
        <mc:AlternateContent>
          <mc:Choice Requires="wps">
            <w:drawing>
              <wp:anchor distT="0" distB="0" distL="114300" distR="114300" simplePos="0" relativeHeight="251668992" behindDoc="0" locked="0" layoutInCell="1" allowOverlap="1" wp14:anchorId="271CE2DF" wp14:editId="1A385D21">
                <wp:simplePos x="0" y="0"/>
                <wp:positionH relativeFrom="column">
                  <wp:posOffset>3691890</wp:posOffset>
                </wp:positionH>
                <wp:positionV relativeFrom="paragraph">
                  <wp:posOffset>151130</wp:posOffset>
                </wp:positionV>
                <wp:extent cx="1609725" cy="333375"/>
                <wp:effectExtent l="0" t="0" r="28575" b="28575"/>
                <wp:wrapNone/>
                <wp:docPr id="14" name="Caixa de texto 14"/>
                <wp:cNvGraphicFramePr/>
                <a:graphic xmlns:a="http://schemas.openxmlformats.org/drawingml/2006/main">
                  <a:graphicData uri="http://schemas.microsoft.com/office/word/2010/wordprocessingShape">
                    <wps:wsp>
                      <wps:cNvSpPr txBox="1"/>
                      <wps:spPr>
                        <a:xfrm>
                          <a:off x="0" y="0"/>
                          <a:ext cx="16097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0E4" w:rsidRDefault="002F70E4" w:rsidP="00D4393D">
                            <w:pPr>
                              <w:jc w:val="center"/>
                            </w:pPr>
                            <w:r>
                              <w:t>Assistentes operacionais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E2DF" id="Caixa de texto 14" o:spid="_x0000_s1032" type="#_x0000_t202" style="position:absolute;left:0;text-align:left;margin-left:290.7pt;margin-top:11.9pt;width:126.7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" fillcolor="white [3201]" strokeweight=".5pt">
                <v:textbox>
                  <w:txbxContent>
                    <w:p w:rsidR="002F70E4" w:rsidRDefault="002F70E4" w:rsidP="00D4393D">
                      <w:pPr>
                        <w:jc w:val="center"/>
                      </w:pPr>
                      <w:r>
                        <w:t>Assistentes operacionais</w:t>
                      </w:r>
                    </w:p>
                  </w:txbxContent>
                </v:textbox>
              </v:shape>
            </w:pict>
          </mc:Fallback>
        </mc:AlternateContent>
      </w:r>
      <w:r w:rsidR="003031A2">
        <w:rPr>
          <w:rFonts w:ascii="Century Gothic" w:hAnsi="Century Gothic"/>
          <w:noProof/>
        </w:rPr>
        <mc:AlternateContent>
          <mc:Choice Requires="wps">
            <w:drawing>
              <wp:anchor distT="0" distB="0" distL="114300" distR="114300" simplePos="0" relativeHeight="251670016" behindDoc="0" locked="0" layoutInCell="1" allowOverlap="1">
                <wp:simplePos x="0" y="0"/>
                <wp:positionH relativeFrom="column">
                  <wp:posOffset>4663440</wp:posOffset>
                </wp:positionH>
                <wp:positionV relativeFrom="paragraph">
                  <wp:posOffset>5715</wp:posOffset>
                </wp:positionV>
                <wp:extent cx="28575" cy="142875"/>
                <wp:effectExtent l="0" t="0" r="28575" b="28575"/>
                <wp:wrapNone/>
                <wp:docPr id="10" name="Conexão reta 10"/>
                <wp:cNvGraphicFramePr/>
                <a:graphic xmlns:a="http://schemas.openxmlformats.org/drawingml/2006/main">
                  <a:graphicData uri="http://schemas.microsoft.com/office/word/2010/wordprocessingShape">
                    <wps:wsp>
                      <wps:cNvCnPr/>
                      <wps:spPr>
                        <a:xfrm>
                          <a:off x="0" y="0"/>
                          <a:ext cx="28575"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822D1" id="Conexão reta 1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2pt,.45pt" to="369.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" strokecolor="black [3200]" strokeweight=".5pt">
                <v:stroke joinstyle="miter"/>
              </v:line>
            </w:pict>
          </mc:Fallback>
        </mc:AlternateContent>
      </w:r>
    </w:p>
    <w:p w:rsidR="00162AEE" w:rsidRDefault="00162AEE" w:rsidP="00162AEE">
      <w:pPr>
        <w:pStyle w:val="PargrafodaLista"/>
        <w:ind w:left="0"/>
        <w:jc w:val="both"/>
        <w:rPr>
          <w:rFonts w:ascii="Century Gothic" w:hAnsi="Century Gothic"/>
          <w:b/>
        </w:rPr>
      </w:pPr>
    </w:p>
    <w:p w:rsidR="00162AEE" w:rsidRDefault="00162AEE" w:rsidP="00162AEE">
      <w:pPr>
        <w:pStyle w:val="PargrafodaLista"/>
        <w:ind w:left="0"/>
        <w:jc w:val="both"/>
        <w:rPr>
          <w:rFonts w:ascii="Century Gothic" w:hAnsi="Century Gothic"/>
          <w:b/>
        </w:rPr>
      </w:pPr>
    </w:p>
    <w:p w:rsidR="00282D21" w:rsidRDefault="00282D21" w:rsidP="00162AEE">
      <w:pPr>
        <w:pStyle w:val="PargrafodaLista"/>
        <w:ind w:left="0"/>
        <w:jc w:val="both"/>
        <w:rPr>
          <w:rFonts w:ascii="Century Gothic" w:hAnsi="Century Gothic"/>
          <w:b/>
        </w:rPr>
      </w:pPr>
    </w:p>
    <w:p w:rsidR="00282D21" w:rsidRDefault="00282D21" w:rsidP="00162AEE">
      <w:pPr>
        <w:pStyle w:val="PargrafodaLista"/>
        <w:ind w:left="0"/>
        <w:jc w:val="both"/>
        <w:rPr>
          <w:rFonts w:ascii="Century Gothic" w:hAnsi="Century Gothic"/>
          <w:b/>
        </w:rPr>
      </w:pPr>
    </w:p>
    <w:p w:rsidR="00162AEE" w:rsidRPr="00705862" w:rsidRDefault="00162AEE" w:rsidP="00162AEE">
      <w:pPr>
        <w:pStyle w:val="PargrafodaLista"/>
        <w:ind w:left="0"/>
        <w:jc w:val="both"/>
        <w:rPr>
          <w:rFonts w:ascii="Century Gothic" w:hAnsi="Century Gothic"/>
          <w:b/>
        </w:rPr>
      </w:pPr>
      <w:r>
        <w:rPr>
          <w:rFonts w:ascii="Century Gothic" w:hAnsi="Century Gothic"/>
          <w:b/>
        </w:rPr>
        <w:t>2.4 – Atividade desenvolvida</w:t>
      </w:r>
    </w:p>
    <w:p w:rsidR="00D4393D" w:rsidRDefault="00D4393D" w:rsidP="00EF571E">
      <w:pPr>
        <w:widowControl/>
        <w:jc w:val="both"/>
        <w:rPr>
          <w:rFonts w:ascii="Century Gothic" w:hAnsi="Century Gothic"/>
        </w:rPr>
      </w:pPr>
    </w:p>
    <w:p w:rsidR="00162AEE" w:rsidRDefault="00162AEE" w:rsidP="00162AEE">
      <w:pPr>
        <w:jc w:val="both"/>
        <w:rPr>
          <w:rFonts w:ascii="Century Gothic" w:hAnsi="Century Gothic"/>
        </w:rPr>
      </w:pPr>
      <w:r w:rsidRPr="00EB244D">
        <w:rPr>
          <w:rFonts w:ascii="Century Gothic" w:hAnsi="Century Gothic"/>
        </w:rPr>
        <w:t>A EPC dedica-se exclusi</w:t>
      </w:r>
      <w:r>
        <w:rPr>
          <w:rFonts w:ascii="Century Gothic" w:hAnsi="Century Gothic"/>
        </w:rPr>
        <w:t>vamente à formação profissional.</w:t>
      </w:r>
      <w:r w:rsidRPr="00EB244D">
        <w:rPr>
          <w:rFonts w:ascii="Century Gothic" w:hAnsi="Century Gothic"/>
        </w:rPr>
        <w:t xml:space="preserve"> </w:t>
      </w:r>
      <w:r>
        <w:rPr>
          <w:rFonts w:ascii="Century Gothic" w:hAnsi="Century Gothic"/>
        </w:rPr>
        <w:t>Promove</w:t>
      </w:r>
      <w:r w:rsidRPr="00EB244D">
        <w:rPr>
          <w:rFonts w:ascii="Century Gothic" w:hAnsi="Century Gothic"/>
        </w:rPr>
        <w:t xml:space="preserve"> cursos </w:t>
      </w:r>
      <w:r w:rsidR="00EF6CD8">
        <w:rPr>
          <w:rFonts w:ascii="Century Gothic" w:hAnsi="Century Gothic"/>
        </w:rPr>
        <w:t>de tipologia</w:t>
      </w:r>
      <w:r w:rsidRPr="00EB244D">
        <w:rPr>
          <w:rFonts w:ascii="Century Gothic" w:hAnsi="Century Gothic"/>
        </w:rPr>
        <w:t xml:space="preserve"> Profissional e P</w:t>
      </w:r>
      <w:r>
        <w:rPr>
          <w:rFonts w:ascii="Century Gothic" w:hAnsi="Century Gothic"/>
        </w:rPr>
        <w:t>ROFIJ</w:t>
      </w:r>
      <w:r w:rsidRPr="00EB244D">
        <w:rPr>
          <w:rFonts w:ascii="Century Gothic" w:hAnsi="Century Gothic"/>
        </w:rPr>
        <w:t>, cujos destinatários são jovens inseridos no âmbito do sis</w:t>
      </w:r>
      <w:r>
        <w:rPr>
          <w:rFonts w:ascii="Century Gothic" w:hAnsi="Century Gothic"/>
        </w:rPr>
        <w:t>tema educativo ou formativo e ativos desempregados.</w:t>
      </w:r>
      <w:r w:rsidRPr="00EB244D">
        <w:rPr>
          <w:rFonts w:ascii="Century Gothic" w:hAnsi="Century Gothic"/>
        </w:rPr>
        <w:t xml:space="preserve"> </w:t>
      </w:r>
      <w:r>
        <w:rPr>
          <w:rFonts w:ascii="Century Gothic" w:hAnsi="Century Gothic"/>
        </w:rPr>
        <w:t>Recentemente, foram introduzidas novas tipologias de formação</w:t>
      </w:r>
      <w:r w:rsidR="00EF6CD8">
        <w:rPr>
          <w:rFonts w:ascii="Century Gothic" w:hAnsi="Century Gothic"/>
        </w:rPr>
        <w:t xml:space="preserve">, nomeadamente o </w:t>
      </w:r>
      <w:proofErr w:type="spellStart"/>
      <w:r w:rsidR="00EF6CD8">
        <w:rPr>
          <w:rFonts w:ascii="Century Gothic" w:hAnsi="Century Gothic"/>
        </w:rPr>
        <w:t>FORM.Açores</w:t>
      </w:r>
      <w:proofErr w:type="spellEnd"/>
      <w:r w:rsidR="00EF6CD8">
        <w:rPr>
          <w:rFonts w:ascii="Century Gothic" w:hAnsi="Century Gothic"/>
        </w:rPr>
        <w:t xml:space="preserve">/Qualificação, que se destina a desempregados inscritos nos serviços públicos de emprego da Região Autónoma dos Açores, assim como o Dual Açores, cujo público alvo é </w:t>
      </w:r>
      <w:r w:rsidR="00535EFC">
        <w:rPr>
          <w:rFonts w:ascii="Century Gothic" w:hAnsi="Century Gothic"/>
        </w:rPr>
        <w:t>ativos desempregados e inativos.</w:t>
      </w:r>
    </w:p>
    <w:p w:rsidR="00D308C6" w:rsidRDefault="00D308C6" w:rsidP="00162AEE">
      <w:pPr>
        <w:jc w:val="both"/>
        <w:rPr>
          <w:rFonts w:ascii="Century Gothic" w:hAnsi="Century Gothic"/>
        </w:rPr>
      </w:pPr>
    </w:p>
    <w:p w:rsidR="00D308C6" w:rsidRDefault="00D308C6" w:rsidP="00162AEE">
      <w:pPr>
        <w:jc w:val="both"/>
        <w:rPr>
          <w:rFonts w:ascii="Century Gothic" w:hAnsi="Century Gothic"/>
        </w:rPr>
      </w:pPr>
    </w:p>
    <w:p w:rsidR="00D308C6" w:rsidRPr="00705862" w:rsidRDefault="00D308C6" w:rsidP="00D308C6">
      <w:pPr>
        <w:pStyle w:val="PargrafodaLista"/>
        <w:ind w:left="0"/>
        <w:jc w:val="both"/>
        <w:rPr>
          <w:rFonts w:ascii="Century Gothic" w:hAnsi="Century Gothic"/>
          <w:b/>
        </w:rPr>
      </w:pPr>
      <w:r>
        <w:rPr>
          <w:rFonts w:ascii="Century Gothic" w:hAnsi="Century Gothic"/>
          <w:b/>
        </w:rPr>
        <w:t>2.5 – Recursos humanos</w:t>
      </w:r>
    </w:p>
    <w:p w:rsidR="00D4393D" w:rsidRDefault="00D4393D" w:rsidP="00EF571E">
      <w:pPr>
        <w:widowControl/>
        <w:jc w:val="both"/>
        <w:rPr>
          <w:rFonts w:ascii="Century Gothic" w:hAnsi="Century Gothic"/>
        </w:rPr>
      </w:pPr>
    </w:p>
    <w:p w:rsidR="00D308C6" w:rsidRPr="00EB244D" w:rsidRDefault="00D308C6" w:rsidP="00D308C6">
      <w:pPr>
        <w:jc w:val="both"/>
        <w:rPr>
          <w:rFonts w:ascii="Century Gothic" w:hAnsi="Century Gothic"/>
        </w:rPr>
      </w:pPr>
      <w:r w:rsidRPr="00EB244D">
        <w:rPr>
          <w:rFonts w:ascii="Century Gothic" w:hAnsi="Century Gothic"/>
        </w:rPr>
        <w:t>Na gerência de 20</w:t>
      </w:r>
      <w:r>
        <w:rPr>
          <w:rFonts w:ascii="Century Gothic" w:hAnsi="Century Gothic"/>
        </w:rPr>
        <w:t>2</w:t>
      </w:r>
      <w:r w:rsidR="0024760D">
        <w:rPr>
          <w:rFonts w:ascii="Century Gothic" w:hAnsi="Century Gothic"/>
        </w:rPr>
        <w:t>2</w:t>
      </w:r>
      <w:r w:rsidR="00CB52DC">
        <w:rPr>
          <w:rFonts w:ascii="Century Gothic" w:hAnsi="Century Gothic"/>
        </w:rPr>
        <w:t xml:space="preserve">, </w:t>
      </w:r>
      <w:r w:rsidRPr="00EB244D">
        <w:rPr>
          <w:rFonts w:ascii="Century Gothic" w:hAnsi="Century Gothic"/>
        </w:rPr>
        <w:t xml:space="preserve">a Direção Executiva foi composta pelo Diretor Executivo, </w:t>
      </w:r>
      <w:r w:rsidR="0024760D">
        <w:rPr>
          <w:rFonts w:ascii="Century Gothic" w:hAnsi="Century Gothic"/>
        </w:rPr>
        <w:t xml:space="preserve">Acir Fernandes Meirelles, </w:t>
      </w:r>
      <w:r>
        <w:rPr>
          <w:rFonts w:ascii="Century Gothic" w:hAnsi="Century Gothic"/>
        </w:rPr>
        <w:t>e pelo</w:t>
      </w:r>
      <w:r w:rsidR="0024760D">
        <w:rPr>
          <w:rFonts w:ascii="Century Gothic" w:hAnsi="Century Gothic"/>
        </w:rPr>
        <w:t>s</w:t>
      </w:r>
      <w:r>
        <w:rPr>
          <w:rFonts w:ascii="Century Gothic" w:hAnsi="Century Gothic"/>
        </w:rPr>
        <w:t xml:space="preserve"> Adjunto</w:t>
      </w:r>
      <w:r w:rsidR="0024760D">
        <w:rPr>
          <w:rFonts w:ascii="Century Gothic" w:hAnsi="Century Gothic"/>
        </w:rPr>
        <w:t>s</w:t>
      </w:r>
      <w:r w:rsidRPr="00EB244D">
        <w:rPr>
          <w:rFonts w:ascii="Century Gothic" w:hAnsi="Century Gothic"/>
        </w:rPr>
        <w:t xml:space="preserve"> d</w:t>
      </w:r>
      <w:r>
        <w:rPr>
          <w:rFonts w:ascii="Century Gothic" w:hAnsi="Century Gothic"/>
        </w:rPr>
        <w:t>a Dire</w:t>
      </w:r>
      <w:r w:rsidRPr="00EB244D">
        <w:rPr>
          <w:rFonts w:ascii="Century Gothic" w:hAnsi="Century Gothic"/>
        </w:rPr>
        <w:t>ção Executiva</w:t>
      </w:r>
      <w:r w:rsidR="0024760D">
        <w:rPr>
          <w:rFonts w:ascii="Century Gothic" w:hAnsi="Century Gothic"/>
        </w:rPr>
        <w:t>,</w:t>
      </w:r>
      <w:r w:rsidR="00CB52DC">
        <w:rPr>
          <w:rFonts w:ascii="Century Gothic" w:hAnsi="Century Gothic"/>
        </w:rPr>
        <w:t xml:space="preserve"> Albe</w:t>
      </w:r>
      <w:r w:rsidR="0024760D">
        <w:rPr>
          <w:rFonts w:ascii="Century Gothic" w:hAnsi="Century Gothic"/>
        </w:rPr>
        <w:t>rtino José Ribeiro Monteiro e</w:t>
      </w:r>
      <w:r w:rsidR="00CB52DC">
        <w:rPr>
          <w:rFonts w:ascii="Century Gothic" w:hAnsi="Century Gothic"/>
        </w:rPr>
        <w:t xml:space="preserve"> Noémia Lima Ventura.</w:t>
      </w:r>
    </w:p>
    <w:p w:rsidR="00CB52DC" w:rsidRDefault="00CB52DC" w:rsidP="00D308C6">
      <w:pPr>
        <w:jc w:val="both"/>
        <w:rPr>
          <w:rFonts w:ascii="Century Gothic" w:hAnsi="Century Gothic"/>
        </w:rPr>
      </w:pPr>
    </w:p>
    <w:p w:rsidR="00282D21" w:rsidRDefault="00D308C6" w:rsidP="00D308C6">
      <w:pPr>
        <w:jc w:val="both"/>
        <w:rPr>
          <w:rFonts w:ascii="Century Gothic" w:hAnsi="Century Gothic"/>
        </w:rPr>
      </w:pPr>
      <w:r w:rsidRPr="00EB244D">
        <w:rPr>
          <w:rFonts w:ascii="Century Gothic" w:hAnsi="Century Gothic"/>
        </w:rPr>
        <w:t>A Escola dispõe</w:t>
      </w:r>
      <w:r w:rsidR="00D945B9">
        <w:rPr>
          <w:rFonts w:ascii="Century Gothic" w:hAnsi="Century Gothic"/>
        </w:rPr>
        <w:t>, no seu quadro</w:t>
      </w:r>
      <w:r w:rsidR="00266801">
        <w:rPr>
          <w:rFonts w:ascii="Century Gothic" w:hAnsi="Century Gothic"/>
        </w:rPr>
        <w:t xml:space="preserve"> (sendo de ressalvar que no caso do pessoal docente são professores do quadro da Escola, enquanto</w:t>
      </w:r>
      <w:r w:rsidR="00282D21">
        <w:rPr>
          <w:rFonts w:ascii="Century Gothic" w:hAnsi="Century Gothic"/>
        </w:rPr>
        <w:t xml:space="preserve"> que</w:t>
      </w:r>
      <w:r w:rsidR="00266801">
        <w:rPr>
          <w:rFonts w:ascii="Century Gothic" w:hAnsi="Century Gothic"/>
        </w:rPr>
        <w:t xml:space="preserve"> os restantes colaboradores são do quadro de ilha afetos a esta Escola)</w:t>
      </w:r>
      <w:r w:rsidR="00D945B9">
        <w:rPr>
          <w:rFonts w:ascii="Century Gothic" w:hAnsi="Century Gothic"/>
        </w:rPr>
        <w:t>,</w:t>
      </w:r>
      <w:r w:rsidRPr="00EB244D">
        <w:rPr>
          <w:rFonts w:ascii="Century Gothic" w:hAnsi="Century Gothic"/>
        </w:rPr>
        <w:t xml:space="preserve"> de </w:t>
      </w:r>
      <w:r>
        <w:rPr>
          <w:rFonts w:ascii="Century Gothic" w:hAnsi="Century Gothic"/>
        </w:rPr>
        <w:t>3</w:t>
      </w:r>
      <w:r w:rsidRPr="00EB244D">
        <w:rPr>
          <w:rFonts w:ascii="Century Gothic" w:hAnsi="Century Gothic"/>
        </w:rPr>
        <w:t xml:space="preserve"> Técnicos Supe</w:t>
      </w:r>
      <w:r>
        <w:rPr>
          <w:rFonts w:ascii="Century Gothic" w:hAnsi="Century Gothic"/>
        </w:rPr>
        <w:t>riores, nas áreas de Sociologia, Psicologia e Financeira, 1</w:t>
      </w:r>
      <w:r w:rsidRPr="00EB244D">
        <w:rPr>
          <w:rFonts w:ascii="Century Gothic" w:hAnsi="Century Gothic"/>
        </w:rPr>
        <w:t xml:space="preserve"> Técnico</w:t>
      </w:r>
      <w:r>
        <w:rPr>
          <w:rFonts w:ascii="Century Gothic" w:hAnsi="Century Gothic"/>
        </w:rPr>
        <w:t xml:space="preserve"> Especialista</w:t>
      </w:r>
      <w:r w:rsidRPr="00EB244D">
        <w:rPr>
          <w:rFonts w:ascii="Century Gothic" w:hAnsi="Century Gothic"/>
        </w:rPr>
        <w:t xml:space="preserve"> de Informática, </w:t>
      </w:r>
      <w:r>
        <w:rPr>
          <w:rFonts w:ascii="Century Gothic" w:hAnsi="Century Gothic"/>
        </w:rPr>
        <w:t>1 encarregada d</w:t>
      </w:r>
      <w:r w:rsidR="00282D21">
        <w:rPr>
          <w:rFonts w:ascii="Century Gothic" w:hAnsi="Century Gothic"/>
        </w:rPr>
        <w:t>o pessoal de apoio educativo, 13</w:t>
      </w:r>
      <w:r>
        <w:rPr>
          <w:rFonts w:ascii="Century Gothic" w:hAnsi="Century Gothic"/>
        </w:rPr>
        <w:t xml:space="preserve"> Assistentes Operacionais, 1 Coordenadora Técnica, 5 Assist</w:t>
      </w:r>
      <w:r w:rsidR="00282D21">
        <w:rPr>
          <w:rFonts w:ascii="Century Gothic" w:hAnsi="Century Gothic"/>
        </w:rPr>
        <w:t>entes Técnicos, 3 Professores</w:t>
      </w:r>
      <w:r>
        <w:rPr>
          <w:rFonts w:ascii="Century Gothic" w:hAnsi="Century Gothic"/>
        </w:rPr>
        <w:t xml:space="preserve">, </w:t>
      </w:r>
      <w:r w:rsidR="0024760D">
        <w:rPr>
          <w:rFonts w:ascii="Century Gothic" w:hAnsi="Century Gothic"/>
        </w:rPr>
        <w:t>3</w:t>
      </w:r>
      <w:r>
        <w:rPr>
          <w:rFonts w:ascii="Century Gothic" w:hAnsi="Century Gothic"/>
        </w:rPr>
        <w:t xml:space="preserve"> Monitores de Formação Profissional</w:t>
      </w:r>
      <w:r w:rsidR="00282D21">
        <w:rPr>
          <w:rFonts w:ascii="Century Gothic" w:hAnsi="Century Gothic"/>
        </w:rPr>
        <w:t>. Um dos professores faz parte da Direção Executiva.</w:t>
      </w:r>
    </w:p>
    <w:p w:rsidR="00282D21" w:rsidRDefault="00282D21" w:rsidP="00D308C6">
      <w:pPr>
        <w:jc w:val="both"/>
        <w:rPr>
          <w:rFonts w:ascii="Century Gothic" w:hAnsi="Century Gothic"/>
        </w:rPr>
      </w:pPr>
    </w:p>
    <w:p w:rsidR="00D308C6" w:rsidRDefault="00282D21" w:rsidP="00D308C6">
      <w:pPr>
        <w:jc w:val="both"/>
        <w:rPr>
          <w:rFonts w:ascii="Century Gothic" w:hAnsi="Century Gothic"/>
        </w:rPr>
      </w:pPr>
      <w:r>
        <w:rPr>
          <w:rFonts w:ascii="Century Gothic" w:hAnsi="Century Gothic"/>
        </w:rPr>
        <w:t xml:space="preserve">Além do pessoal do quadro, conta com a participação de </w:t>
      </w:r>
      <w:r w:rsidR="001B6BBC">
        <w:rPr>
          <w:rFonts w:ascii="Century Gothic" w:hAnsi="Century Gothic"/>
        </w:rPr>
        <w:t>2</w:t>
      </w:r>
      <w:r w:rsidR="0024760D">
        <w:rPr>
          <w:rFonts w:ascii="Century Gothic" w:hAnsi="Century Gothic"/>
        </w:rPr>
        <w:t>0</w:t>
      </w:r>
      <w:r w:rsidR="00D308C6">
        <w:rPr>
          <w:rFonts w:ascii="Century Gothic" w:hAnsi="Century Gothic"/>
        </w:rPr>
        <w:t xml:space="preserve"> formadores externos.</w:t>
      </w:r>
    </w:p>
    <w:p w:rsidR="00D4393D" w:rsidRDefault="00D4393D" w:rsidP="00EF571E">
      <w:pPr>
        <w:widowControl/>
        <w:jc w:val="both"/>
        <w:rPr>
          <w:rFonts w:ascii="Century Gothic" w:hAnsi="Century Gothic"/>
        </w:rPr>
      </w:pPr>
    </w:p>
    <w:p w:rsidR="004153DB" w:rsidRDefault="004153DB" w:rsidP="00EF571E">
      <w:pPr>
        <w:widowControl/>
        <w:jc w:val="both"/>
        <w:rPr>
          <w:rFonts w:ascii="Century Gothic" w:hAnsi="Century Gothic"/>
        </w:rPr>
      </w:pPr>
    </w:p>
    <w:p w:rsidR="009F69E5" w:rsidRDefault="009F69E5" w:rsidP="009F69E5">
      <w:pPr>
        <w:pStyle w:val="Corpodetexto2"/>
        <w:spacing w:line="240" w:lineRule="auto"/>
        <w:jc w:val="center"/>
        <w:rPr>
          <w:rFonts w:ascii="Century Gothic" w:hAnsi="Century Gothic"/>
          <w:b/>
          <w:sz w:val="18"/>
          <w:szCs w:val="18"/>
        </w:rPr>
      </w:pPr>
      <w:r w:rsidRPr="00416917">
        <w:rPr>
          <w:rFonts w:ascii="Century Gothic" w:hAnsi="Century Gothic"/>
          <w:b/>
          <w:sz w:val="18"/>
          <w:szCs w:val="18"/>
        </w:rPr>
        <w:t xml:space="preserve"> Pessoal</w:t>
      </w:r>
      <w:r w:rsidR="00D945B9">
        <w:rPr>
          <w:rFonts w:ascii="Century Gothic" w:hAnsi="Century Gothic"/>
          <w:b/>
          <w:sz w:val="18"/>
          <w:szCs w:val="18"/>
        </w:rPr>
        <w:t xml:space="preserve"> do quadro e Dirigentes</w:t>
      </w:r>
    </w:p>
    <w:p w:rsidR="009F69E5" w:rsidRPr="00416917" w:rsidRDefault="009F69E5" w:rsidP="009F69E5">
      <w:pPr>
        <w:pStyle w:val="Corpodetexto2"/>
        <w:spacing w:line="240" w:lineRule="auto"/>
        <w:jc w:val="center"/>
        <w:rPr>
          <w:rFonts w:ascii="Century Gothic" w:hAnsi="Century Gothic"/>
          <w:b/>
          <w:sz w:val="18"/>
          <w:szCs w:val="18"/>
        </w:rPr>
      </w:pPr>
    </w:p>
    <w:tbl>
      <w:tblPr>
        <w:tblW w:w="6307" w:type="dxa"/>
        <w:jc w:val="center"/>
        <w:tblCellMar>
          <w:left w:w="70" w:type="dxa"/>
          <w:right w:w="70" w:type="dxa"/>
        </w:tblCellMar>
        <w:tblLook w:val="04A0" w:firstRow="1" w:lastRow="0" w:firstColumn="1" w:lastColumn="0" w:noHBand="0" w:noVBand="1"/>
      </w:tblPr>
      <w:tblGrid>
        <w:gridCol w:w="4748"/>
        <w:gridCol w:w="851"/>
        <w:gridCol w:w="708"/>
      </w:tblGrid>
      <w:tr w:rsidR="009F69E5" w:rsidRPr="00416917" w:rsidTr="002F20B0">
        <w:trPr>
          <w:trHeight w:val="300"/>
          <w:jc w:val="center"/>
        </w:trPr>
        <w:tc>
          <w:tcPr>
            <w:tcW w:w="4748" w:type="dxa"/>
            <w:tcBorders>
              <w:top w:val="nil"/>
              <w:left w:val="nil"/>
              <w:bottom w:val="nil"/>
              <w:right w:val="single" w:sz="12" w:space="0" w:color="4F81BD"/>
            </w:tcBorders>
            <w:shd w:val="clear" w:color="000000" w:fill="8DB3E2"/>
            <w:vAlign w:val="center"/>
            <w:hideMark/>
          </w:tcPr>
          <w:p w:rsidR="009F69E5" w:rsidRPr="00416917" w:rsidRDefault="009F69E5" w:rsidP="002F20B0">
            <w:pPr>
              <w:pStyle w:val="Corpodetexto2"/>
              <w:spacing w:line="240" w:lineRule="auto"/>
              <w:jc w:val="left"/>
              <w:rPr>
                <w:rFonts w:ascii="Century Gothic" w:hAnsi="Century Gothic"/>
                <w:b/>
                <w:sz w:val="18"/>
                <w:szCs w:val="18"/>
                <w:shd w:val="clear" w:color="auto" w:fill="8DB3E2"/>
              </w:rPr>
            </w:pPr>
            <w:r w:rsidRPr="00416917">
              <w:rPr>
                <w:rFonts w:ascii="Century Gothic" w:hAnsi="Century Gothic"/>
                <w:b/>
                <w:sz w:val="18"/>
                <w:szCs w:val="18"/>
                <w:shd w:val="clear" w:color="auto" w:fill="8DB3E2"/>
              </w:rPr>
              <w:t>Pessoal</w:t>
            </w:r>
          </w:p>
        </w:tc>
        <w:tc>
          <w:tcPr>
            <w:tcW w:w="851" w:type="dxa"/>
            <w:tcBorders>
              <w:top w:val="nil"/>
              <w:left w:val="nil"/>
              <w:bottom w:val="nil"/>
              <w:right w:val="single" w:sz="12" w:space="0" w:color="4F81BD"/>
            </w:tcBorders>
            <w:shd w:val="clear" w:color="000000" w:fill="8DB3E2"/>
          </w:tcPr>
          <w:p w:rsidR="009F69E5" w:rsidRPr="00416917" w:rsidRDefault="009F69E5" w:rsidP="002F20B0">
            <w:pPr>
              <w:pStyle w:val="Corpodetexto2"/>
              <w:spacing w:line="240" w:lineRule="auto"/>
              <w:jc w:val="center"/>
              <w:rPr>
                <w:rFonts w:ascii="Century Gothic" w:hAnsi="Century Gothic"/>
                <w:b/>
                <w:sz w:val="18"/>
                <w:szCs w:val="18"/>
                <w:shd w:val="clear" w:color="auto" w:fill="8DB3E2"/>
              </w:rPr>
            </w:pPr>
            <w:r>
              <w:rPr>
                <w:rFonts w:ascii="Century Gothic" w:hAnsi="Century Gothic"/>
                <w:b/>
                <w:sz w:val="18"/>
                <w:szCs w:val="18"/>
                <w:shd w:val="clear" w:color="auto" w:fill="8DB3E2"/>
              </w:rPr>
              <w:t>202</w:t>
            </w:r>
            <w:r w:rsidR="0068322A">
              <w:rPr>
                <w:rFonts w:ascii="Century Gothic" w:hAnsi="Century Gothic"/>
                <w:b/>
                <w:sz w:val="18"/>
                <w:szCs w:val="18"/>
                <w:shd w:val="clear" w:color="auto" w:fill="8DB3E2"/>
              </w:rPr>
              <w:t>2</w:t>
            </w:r>
          </w:p>
        </w:tc>
        <w:tc>
          <w:tcPr>
            <w:tcW w:w="708" w:type="dxa"/>
            <w:tcBorders>
              <w:top w:val="nil"/>
              <w:left w:val="nil"/>
              <w:bottom w:val="nil"/>
              <w:right w:val="single" w:sz="12" w:space="0" w:color="4F81BD"/>
            </w:tcBorders>
            <w:shd w:val="clear" w:color="000000" w:fill="8DB3E2"/>
          </w:tcPr>
          <w:p w:rsidR="009F69E5" w:rsidRPr="00416917" w:rsidRDefault="009F69E5" w:rsidP="002F20B0">
            <w:pPr>
              <w:pStyle w:val="Corpodetexto2"/>
              <w:spacing w:line="240" w:lineRule="auto"/>
              <w:jc w:val="left"/>
              <w:rPr>
                <w:rFonts w:ascii="Century Gothic" w:hAnsi="Century Gothic"/>
                <w:b/>
                <w:sz w:val="18"/>
                <w:szCs w:val="18"/>
                <w:shd w:val="clear" w:color="auto" w:fill="8DB3E2"/>
              </w:rPr>
            </w:pPr>
            <w:r>
              <w:rPr>
                <w:rFonts w:ascii="Century Gothic" w:hAnsi="Century Gothic"/>
                <w:b/>
                <w:sz w:val="18"/>
                <w:szCs w:val="18"/>
                <w:shd w:val="clear" w:color="auto" w:fill="8DB3E2"/>
              </w:rPr>
              <w:t>202</w:t>
            </w:r>
            <w:r w:rsidR="0068322A">
              <w:rPr>
                <w:rFonts w:ascii="Century Gothic" w:hAnsi="Century Gothic"/>
                <w:b/>
                <w:sz w:val="18"/>
                <w:szCs w:val="18"/>
                <w:shd w:val="clear" w:color="auto" w:fill="8DB3E2"/>
              </w:rPr>
              <w:t>1</w:t>
            </w:r>
          </w:p>
        </w:tc>
      </w:tr>
      <w:tr w:rsidR="009F69E5" w:rsidRPr="00D25E46" w:rsidTr="002F20B0">
        <w:trPr>
          <w:trHeight w:val="330"/>
          <w:jc w:val="center"/>
        </w:trPr>
        <w:tc>
          <w:tcPr>
            <w:tcW w:w="4748" w:type="dxa"/>
            <w:tcBorders>
              <w:top w:val="single" w:sz="4" w:space="0" w:color="B2B2B2"/>
              <w:left w:val="single" w:sz="4" w:space="0" w:color="B2B2B2"/>
              <w:bottom w:val="single" w:sz="4" w:space="0" w:color="B2B2B2"/>
              <w:right w:val="single" w:sz="4" w:space="0" w:color="B2B2B2"/>
            </w:tcBorders>
            <w:shd w:val="clear" w:color="auto" w:fill="FFFFFF"/>
          </w:tcPr>
          <w:p w:rsidR="009F69E5" w:rsidRPr="002673B6" w:rsidRDefault="009F69E5" w:rsidP="002F20B0">
            <w:pPr>
              <w:pStyle w:val="Corpodetexto2"/>
              <w:spacing w:line="240" w:lineRule="auto"/>
              <w:rPr>
                <w:rFonts w:ascii="Calibri" w:hAnsi="Calibri"/>
                <w:b/>
                <w:bCs/>
                <w:color w:val="000000"/>
                <w:szCs w:val="22"/>
              </w:rPr>
            </w:pPr>
            <w:r w:rsidRPr="0084655A">
              <w:rPr>
                <w:rFonts w:ascii="Century Gothic" w:hAnsi="Century Gothic"/>
                <w:b/>
                <w:sz w:val="18"/>
                <w:szCs w:val="18"/>
              </w:rPr>
              <w:t>Pessoal Docente</w:t>
            </w:r>
          </w:p>
        </w:tc>
        <w:tc>
          <w:tcPr>
            <w:tcW w:w="851" w:type="dxa"/>
            <w:tcBorders>
              <w:top w:val="single" w:sz="4" w:space="0" w:color="B2B2B2"/>
              <w:left w:val="single" w:sz="4" w:space="0" w:color="B2B2B2"/>
              <w:bottom w:val="single" w:sz="4" w:space="0" w:color="B2B2B2"/>
              <w:right w:val="single" w:sz="4" w:space="0" w:color="B2B2B2"/>
            </w:tcBorders>
            <w:shd w:val="clear" w:color="auto" w:fill="FFFFFF"/>
          </w:tcPr>
          <w:p w:rsidR="009F69E5" w:rsidRDefault="009F69E5" w:rsidP="002F20B0">
            <w:pPr>
              <w:pStyle w:val="Corpodetexto2"/>
              <w:spacing w:line="240" w:lineRule="auto"/>
              <w:rPr>
                <w:rFonts w:ascii="Century Gothic" w:hAnsi="Century Gothic"/>
                <w:b/>
                <w:sz w:val="18"/>
                <w:szCs w:val="18"/>
              </w:rPr>
            </w:pPr>
          </w:p>
        </w:tc>
        <w:tc>
          <w:tcPr>
            <w:tcW w:w="708" w:type="dxa"/>
            <w:tcBorders>
              <w:top w:val="single" w:sz="4" w:space="0" w:color="B2B2B2"/>
              <w:left w:val="single" w:sz="4" w:space="0" w:color="B2B2B2"/>
              <w:bottom w:val="single" w:sz="4" w:space="0" w:color="B2B2B2"/>
              <w:right w:val="single" w:sz="4" w:space="0" w:color="B2B2B2"/>
            </w:tcBorders>
            <w:shd w:val="clear" w:color="auto" w:fill="FFFFFF"/>
          </w:tcPr>
          <w:p w:rsidR="009F69E5" w:rsidRDefault="009F69E5" w:rsidP="002F20B0">
            <w:pPr>
              <w:pStyle w:val="Corpodetexto2"/>
              <w:spacing w:line="240" w:lineRule="auto"/>
              <w:rPr>
                <w:rFonts w:ascii="Century Gothic" w:hAnsi="Century Gothic"/>
                <w:b/>
                <w:sz w:val="18"/>
                <w:szCs w:val="18"/>
              </w:rPr>
            </w:pPr>
          </w:p>
        </w:tc>
      </w:tr>
      <w:tr w:rsidR="009F69E5" w:rsidRPr="00D25E46" w:rsidTr="002F20B0">
        <w:trPr>
          <w:trHeight w:val="330"/>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2311EF" w:rsidRDefault="009F69E5" w:rsidP="002F20B0">
            <w:pPr>
              <w:pStyle w:val="Corpodetexto2"/>
              <w:spacing w:line="240" w:lineRule="auto"/>
              <w:rPr>
                <w:rFonts w:ascii="Century Gothic" w:hAnsi="Century Gothic"/>
                <w:sz w:val="18"/>
                <w:szCs w:val="18"/>
              </w:rPr>
            </w:pPr>
            <w:r w:rsidRPr="002311EF">
              <w:rPr>
                <w:rFonts w:ascii="Century Gothic" w:hAnsi="Century Gothic"/>
                <w:sz w:val="18"/>
                <w:szCs w:val="18"/>
              </w:rPr>
              <w:t xml:space="preserve">    Professores</w:t>
            </w:r>
            <w:r>
              <w:rPr>
                <w:rFonts w:ascii="Century Gothic" w:hAnsi="Century Gothic"/>
                <w:sz w:val="18"/>
                <w:szCs w:val="18"/>
              </w:rPr>
              <w:t xml:space="preserve"> do Quadro de Nomeação Definitiva </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2311EF" w:rsidRDefault="00344FCD" w:rsidP="002F20B0">
            <w:pPr>
              <w:pStyle w:val="Corpodetexto2"/>
              <w:spacing w:line="240" w:lineRule="auto"/>
              <w:jc w:val="center"/>
              <w:rPr>
                <w:rFonts w:ascii="Century Gothic" w:hAnsi="Century Gothic"/>
                <w:sz w:val="18"/>
                <w:szCs w:val="18"/>
              </w:rPr>
            </w:pPr>
            <w:r>
              <w:rPr>
                <w:rFonts w:ascii="Century Gothic" w:hAnsi="Century Gothic"/>
                <w:sz w:val="18"/>
                <w:szCs w:val="18"/>
              </w:rPr>
              <w:t>2</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2311EF" w:rsidRDefault="0068322A" w:rsidP="002F20B0">
            <w:pPr>
              <w:pStyle w:val="Corpodetexto2"/>
              <w:spacing w:line="240" w:lineRule="auto"/>
              <w:jc w:val="center"/>
              <w:rPr>
                <w:rFonts w:ascii="Century Gothic" w:hAnsi="Century Gothic"/>
                <w:sz w:val="18"/>
                <w:szCs w:val="18"/>
              </w:rPr>
            </w:pPr>
            <w:r>
              <w:rPr>
                <w:rFonts w:ascii="Century Gothic" w:hAnsi="Century Gothic"/>
                <w:sz w:val="18"/>
                <w:szCs w:val="18"/>
              </w:rPr>
              <w:t>2</w:t>
            </w:r>
          </w:p>
        </w:tc>
      </w:tr>
      <w:tr w:rsidR="009F69E5" w:rsidRPr="00D25E46" w:rsidTr="002F20B0">
        <w:trPr>
          <w:trHeight w:val="330"/>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E02BCD" w:rsidRDefault="009F69E5" w:rsidP="002F20B0">
            <w:pPr>
              <w:pStyle w:val="Corpodetexto2"/>
              <w:spacing w:line="240" w:lineRule="auto"/>
              <w:jc w:val="right"/>
              <w:rPr>
                <w:rFonts w:ascii="Century Gothic" w:hAnsi="Century Gothic"/>
                <w:b/>
                <w:sz w:val="18"/>
                <w:szCs w:val="18"/>
              </w:rPr>
            </w:pPr>
            <w:r>
              <w:rPr>
                <w:rFonts w:ascii="Century Gothic" w:hAnsi="Century Gothic"/>
                <w:b/>
                <w:sz w:val="18"/>
                <w:szCs w:val="18"/>
              </w:rPr>
              <w:t>=Total</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3436BE" w:rsidRDefault="0068322A" w:rsidP="002F20B0">
            <w:pPr>
              <w:pStyle w:val="Corpodetexto2"/>
              <w:spacing w:line="240" w:lineRule="auto"/>
              <w:jc w:val="center"/>
              <w:rPr>
                <w:rFonts w:ascii="Century Gothic" w:hAnsi="Century Gothic"/>
                <w:b/>
                <w:sz w:val="18"/>
                <w:szCs w:val="18"/>
              </w:rPr>
            </w:pPr>
            <w:r>
              <w:rPr>
                <w:rFonts w:ascii="Century Gothic" w:hAnsi="Century Gothic"/>
                <w:b/>
                <w:sz w:val="18"/>
                <w:szCs w:val="18"/>
              </w:rPr>
              <w:t>2</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3436BE" w:rsidRDefault="0068322A" w:rsidP="002F20B0">
            <w:pPr>
              <w:pStyle w:val="Corpodetexto2"/>
              <w:spacing w:line="240" w:lineRule="auto"/>
              <w:jc w:val="center"/>
              <w:rPr>
                <w:rFonts w:ascii="Century Gothic" w:hAnsi="Century Gothic"/>
                <w:b/>
                <w:sz w:val="18"/>
                <w:szCs w:val="18"/>
              </w:rPr>
            </w:pPr>
            <w:r>
              <w:rPr>
                <w:rFonts w:ascii="Century Gothic" w:hAnsi="Century Gothic"/>
                <w:b/>
                <w:sz w:val="18"/>
                <w:szCs w:val="18"/>
              </w:rPr>
              <w:t>2</w:t>
            </w:r>
          </w:p>
        </w:tc>
      </w:tr>
      <w:tr w:rsidR="009F69E5" w:rsidRPr="00D25E46" w:rsidTr="002F20B0">
        <w:trPr>
          <w:trHeight w:val="330"/>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2311EF" w:rsidRDefault="009F69E5" w:rsidP="002F20B0">
            <w:pPr>
              <w:pStyle w:val="Corpodetexto2"/>
              <w:spacing w:line="240" w:lineRule="auto"/>
              <w:rPr>
                <w:rFonts w:ascii="Century Gothic" w:hAnsi="Century Gothic"/>
                <w:sz w:val="18"/>
                <w:szCs w:val="18"/>
              </w:rPr>
            </w:pPr>
            <w:r w:rsidRPr="00E02BCD">
              <w:rPr>
                <w:rFonts w:ascii="Century Gothic" w:hAnsi="Century Gothic"/>
                <w:b/>
                <w:sz w:val="18"/>
                <w:szCs w:val="18"/>
              </w:rPr>
              <w:t>Monitores de Formação Profissional</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2311EF" w:rsidRDefault="009F69E5" w:rsidP="002F20B0">
            <w:pPr>
              <w:pStyle w:val="Corpodetexto2"/>
              <w:spacing w:line="240" w:lineRule="auto"/>
              <w:jc w:val="center"/>
              <w:rPr>
                <w:rFonts w:ascii="Century Gothic" w:hAnsi="Century Gothic"/>
                <w:sz w:val="18"/>
                <w:szCs w:val="18"/>
              </w:rPr>
            </w:pPr>
          </w:p>
        </w:tc>
        <w:tc>
          <w:tcPr>
            <w:tcW w:w="708" w:type="dxa"/>
            <w:tcBorders>
              <w:top w:val="nil"/>
              <w:left w:val="single" w:sz="4" w:space="0" w:color="B2B2B2"/>
              <w:bottom w:val="single" w:sz="4" w:space="0" w:color="B2B2B2"/>
              <w:right w:val="single" w:sz="4" w:space="0" w:color="B2B2B2"/>
            </w:tcBorders>
            <w:shd w:val="clear" w:color="auto" w:fill="FFFFFF"/>
          </w:tcPr>
          <w:p w:rsidR="009F69E5" w:rsidRPr="002311EF" w:rsidRDefault="009F69E5" w:rsidP="002F20B0">
            <w:pPr>
              <w:pStyle w:val="Corpodetexto2"/>
              <w:spacing w:line="240" w:lineRule="auto"/>
              <w:jc w:val="center"/>
              <w:rPr>
                <w:rFonts w:ascii="Century Gothic" w:hAnsi="Century Gothic"/>
                <w:sz w:val="18"/>
                <w:szCs w:val="18"/>
              </w:rPr>
            </w:pPr>
          </w:p>
        </w:tc>
      </w:tr>
      <w:tr w:rsidR="009F69E5" w:rsidRPr="00D25E46" w:rsidTr="002F20B0">
        <w:trPr>
          <w:trHeight w:val="330"/>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2311EF" w:rsidRDefault="009F69E5" w:rsidP="002F20B0">
            <w:pPr>
              <w:pStyle w:val="Corpodetexto2"/>
              <w:spacing w:line="240" w:lineRule="auto"/>
              <w:rPr>
                <w:rFonts w:ascii="Century Gothic" w:hAnsi="Century Gothic"/>
                <w:sz w:val="18"/>
                <w:szCs w:val="18"/>
              </w:rPr>
            </w:pPr>
            <w:r>
              <w:rPr>
                <w:rFonts w:ascii="Century Gothic" w:hAnsi="Century Gothic"/>
                <w:sz w:val="18"/>
                <w:szCs w:val="18"/>
              </w:rPr>
              <w:t xml:space="preserve">    Monitores</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2311EF" w:rsidRDefault="0068322A" w:rsidP="002F20B0">
            <w:pPr>
              <w:pStyle w:val="Corpodetexto2"/>
              <w:spacing w:line="240" w:lineRule="auto"/>
              <w:jc w:val="center"/>
              <w:rPr>
                <w:rFonts w:ascii="Century Gothic" w:hAnsi="Century Gothic"/>
                <w:sz w:val="18"/>
                <w:szCs w:val="18"/>
              </w:rPr>
            </w:pPr>
            <w:r>
              <w:rPr>
                <w:rFonts w:ascii="Century Gothic" w:hAnsi="Century Gothic"/>
                <w:sz w:val="18"/>
                <w:szCs w:val="18"/>
              </w:rPr>
              <w:t>3</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2311EF"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4</w:t>
            </w:r>
          </w:p>
        </w:tc>
      </w:tr>
      <w:tr w:rsidR="009F69E5" w:rsidRPr="00D25E46" w:rsidTr="002F20B0">
        <w:trPr>
          <w:trHeight w:val="345"/>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E02BCD" w:rsidRDefault="009F69E5" w:rsidP="002F20B0">
            <w:pPr>
              <w:pStyle w:val="Corpodetexto2"/>
              <w:spacing w:line="240" w:lineRule="auto"/>
              <w:jc w:val="right"/>
              <w:rPr>
                <w:rFonts w:ascii="Century Gothic" w:hAnsi="Century Gothic"/>
                <w:b/>
                <w:sz w:val="18"/>
                <w:szCs w:val="18"/>
              </w:rPr>
            </w:pPr>
            <w:r>
              <w:rPr>
                <w:rFonts w:ascii="Century Gothic" w:hAnsi="Century Gothic"/>
                <w:b/>
                <w:sz w:val="18"/>
                <w:szCs w:val="18"/>
              </w:rPr>
              <w:t>=Total</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3436BE" w:rsidRDefault="0068322A" w:rsidP="002F20B0">
            <w:pPr>
              <w:pStyle w:val="Corpodetexto2"/>
              <w:spacing w:line="240" w:lineRule="auto"/>
              <w:jc w:val="center"/>
              <w:rPr>
                <w:rFonts w:ascii="Century Gothic" w:hAnsi="Century Gothic"/>
                <w:b/>
                <w:sz w:val="18"/>
                <w:szCs w:val="18"/>
              </w:rPr>
            </w:pPr>
            <w:r>
              <w:rPr>
                <w:rFonts w:ascii="Century Gothic" w:hAnsi="Century Gothic"/>
                <w:b/>
                <w:sz w:val="18"/>
                <w:szCs w:val="18"/>
              </w:rPr>
              <w:t>3</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3436BE" w:rsidRDefault="009F69E5" w:rsidP="002F20B0">
            <w:pPr>
              <w:pStyle w:val="Corpodetexto2"/>
              <w:spacing w:line="240" w:lineRule="auto"/>
              <w:jc w:val="center"/>
              <w:rPr>
                <w:rFonts w:ascii="Century Gothic" w:hAnsi="Century Gothic"/>
                <w:b/>
                <w:sz w:val="18"/>
                <w:szCs w:val="18"/>
              </w:rPr>
            </w:pPr>
            <w:r w:rsidRPr="003436BE">
              <w:rPr>
                <w:rFonts w:ascii="Century Gothic" w:hAnsi="Century Gothic"/>
                <w:b/>
                <w:sz w:val="18"/>
                <w:szCs w:val="18"/>
              </w:rPr>
              <w:t>4</w:t>
            </w:r>
          </w:p>
        </w:tc>
      </w:tr>
      <w:tr w:rsidR="009F69E5" w:rsidRPr="00D25E46" w:rsidTr="002F20B0">
        <w:trPr>
          <w:trHeight w:val="315"/>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2311EF" w:rsidRDefault="009F69E5" w:rsidP="002F20B0">
            <w:pPr>
              <w:pStyle w:val="Corpodetexto2"/>
              <w:spacing w:line="240" w:lineRule="auto"/>
              <w:rPr>
                <w:rFonts w:ascii="Century Gothic" w:hAnsi="Century Gothic"/>
                <w:sz w:val="18"/>
                <w:szCs w:val="18"/>
              </w:rPr>
            </w:pPr>
            <w:r w:rsidRPr="00D808B2">
              <w:rPr>
                <w:rFonts w:ascii="Century Gothic" w:hAnsi="Century Gothic"/>
                <w:b/>
                <w:sz w:val="18"/>
                <w:szCs w:val="18"/>
              </w:rPr>
              <w:t>Pessoal Não Docente</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2311EF" w:rsidRDefault="009F69E5" w:rsidP="002F20B0">
            <w:pPr>
              <w:pStyle w:val="Corpodetexto2"/>
              <w:spacing w:line="240" w:lineRule="auto"/>
              <w:jc w:val="center"/>
              <w:rPr>
                <w:rFonts w:ascii="Century Gothic" w:hAnsi="Century Gothic"/>
                <w:sz w:val="18"/>
                <w:szCs w:val="18"/>
              </w:rPr>
            </w:pPr>
          </w:p>
        </w:tc>
        <w:tc>
          <w:tcPr>
            <w:tcW w:w="708" w:type="dxa"/>
            <w:tcBorders>
              <w:top w:val="nil"/>
              <w:left w:val="single" w:sz="4" w:space="0" w:color="B2B2B2"/>
              <w:bottom w:val="single" w:sz="4" w:space="0" w:color="B2B2B2"/>
              <w:right w:val="single" w:sz="4" w:space="0" w:color="B2B2B2"/>
            </w:tcBorders>
            <w:shd w:val="clear" w:color="auto" w:fill="FFFFFF"/>
          </w:tcPr>
          <w:p w:rsidR="009F69E5" w:rsidRPr="002311EF" w:rsidRDefault="009F69E5" w:rsidP="002F20B0">
            <w:pPr>
              <w:pStyle w:val="Corpodetexto2"/>
              <w:spacing w:line="240" w:lineRule="auto"/>
              <w:jc w:val="center"/>
              <w:rPr>
                <w:rFonts w:ascii="Century Gothic" w:hAnsi="Century Gothic"/>
                <w:sz w:val="18"/>
                <w:szCs w:val="18"/>
              </w:rPr>
            </w:pPr>
          </w:p>
        </w:tc>
      </w:tr>
      <w:tr w:rsidR="009F69E5" w:rsidRPr="00D25E46" w:rsidTr="002F20B0">
        <w:trPr>
          <w:trHeight w:val="330"/>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rPr>
                <w:rFonts w:ascii="Century Gothic" w:hAnsi="Century Gothic"/>
                <w:sz w:val="18"/>
                <w:szCs w:val="18"/>
              </w:rPr>
            </w:pPr>
            <w:r>
              <w:rPr>
                <w:rFonts w:ascii="Century Gothic" w:hAnsi="Century Gothic"/>
                <w:sz w:val="18"/>
                <w:szCs w:val="18"/>
              </w:rPr>
              <w:t xml:space="preserve">   </w:t>
            </w:r>
            <w:r w:rsidRPr="00D808B2">
              <w:rPr>
                <w:rFonts w:ascii="Century Gothic" w:hAnsi="Century Gothic"/>
                <w:sz w:val="18"/>
                <w:szCs w:val="18"/>
              </w:rPr>
              <w:t>Técnicos Superiores</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3</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3</w:t>
            </w:r>
          </w:p>
        </w:tc>
      </w:tr>
      <w:tr w:rsidR="009F69E5" w:rsidRPr="00D25E46" w:rsidTr="002F20B0">
        <w:trPr>
          <w:trHeight w:val="330"/>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rPr>
                <w:rFonts w:ascii="Century Gothic" w:hAnsi="Century Gothic"/>
                <w:sz w:val="18"/>
                <w:szCs w:val="18"/>
              </w:rPr>
            </w:pPr>
            <w:r>
              <w:rPr>
                <w:rFonts w:ascii="Century Gothic" w:hAnsi="Century Gothic"/>
                <w:sz w:val="18"/>
                <w:szCs w:val="18"/>
              </w:rPr>
              <w:t xml:space="preserve">   Técnico Especialista de Informática</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r w:rsidRPr="00D808B2">
              <w:rPr>
                <w:rFonts w:ascii="Century Gothic" w:hAnsi="Century Gothic"/>
                <w:sz w:val="18"/>
                <w:szCs w:val="18"/>
              </w:rPr>
              <w:t>1</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r w:rsidRPr="00D808B2">
              <w:rPr>
                <w:rFonts w:ascii="Century Gothic" w:hAnsi="Century Gothic"/>
                <w:sz w:val="18"/>
                <w:szCs w:val="18"/>
              </w:rPr>
              <w:t>1</w:t>
            </w:r>
          </w:p>
        </w:tc>
      </w:tr>
      <w:tr w:rsidR="009F69E5" w:rsidRPr="00D25E46" w:rsidTr="002F20B0">
        <w:trPr>
          <w:trHeight w:val="330"/>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rPr>
                <w:rFonts w:ascii="Century Gothic" w:hAnsi="Century Gothic"/>
                <w:sz w:val="18"/>
                <w:szCs w:val="18"/>
              </w:rPr>
            </w:pPr>
            <w:r>
              <w:rPr>
                <w:rFonts w:ascii="Century Gothic" w:hAnsi="Century Gothic"/>
                <w:sz w:val="18"/>
                <w:szCs w:val="18"/>
              </w:rPr>
              <w:t xml:space="preserve">   Coordenadora Técnica</w:t>
            </w:r>
          </w:p>
        </w:tc>
        <w:tc>
          <w:tcPr>
            <w:tcW w:w="851" w:type="dxa"/>
            <w:tcBorders>
              <w:top w:val="nil"/>
              <w:left w:val="single" w:sz="4" w:space="0" w:color="B2B2B2"/>
              <w:bottom w:val="single" w:sz="4" w:space="0" w:color="B2B2B2"/>
              <w:right w:val="single" w:sz="4" w:space="0" w:color="B2B2B2"/>
            </w:tcBorders>
            <w:shd w:val="clear" w:color="auto" w:fill="FFFFFF"/>
          </w:tcPr>
          <w:p w:rsidR="009F69E5"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1</w:t>
            </w:r>
          </w:p>
        </w:tc>
        <w:tc>
          <w:tcPr>
            <w:tcW w:w="708" w:type="dxa"/>
            <w:tcBorders>
              <w:top w:val="nil"/>
              <w:left w:val="single" w:sz="4" w:space="0" w:color="B2B2B2"/>
              <w:bottom w:val="single" w:sz="4" w:space="0" w:color="B2B2B2"/>
              <w:right w:val="single" w:sz="4" w:space="0" w:color="B2B2B2"/>
            </w:tcBorders>
            <w:shd w:val="clear" w:color="auto" w:fill="FFFFFF"/>
          </w:tcPr>
          <w:p w:rsidR="009F69E5"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1</w:t>
            </w:r>
          </w:p>
        </w:tc>
      </w:tr>
      <w:tr w:rsidR="009F69E5" w:rsidRPr="00D25E46" w:rsidTr="002F20B0">
        <w:trPr>
          <w:trHeight w:val="330"/>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rPr>
                <w:rFonts w:ascii="Century Gothic" w:hAnsi="Century Gothic"/>
                <w:sz w:val="18"/>
                <w:szCs w:val="18"/>
              </w:rPr>
            </w:pPr>
            <w:r>
              <w:rPr>
                <w:rFonts w:ascii="Century Gothic" w:hAnsi="Century Gothic"/>
                <w:sz w:val="18"/>
                <w:szCs w:val="18"/>
              </w:rPr>
              <w:t xml:space="preserve">   </w:t>
            </w:r>
            <w:r w:rsidRPr="00D808B2">
              <w:rPr>
                <w:rFonts w:ascii="Century Gothic" w:hAnsi="Century Gothic"/>
                <w:sz w:val="18"/>
                <w:szCs w:val="18"/>
              </w:rPr>
              <w:t>Assistentes Técnicos</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5</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5</w:t>
            </w:r>
          </w:p>
        </w:tc>
      </w:tr>
      <w:tr w:rsidR="009F69E5" w:rsidRPr="00D25E46" w:rsidTr="002F20B0">
        <w:trPr>
          <w:trHeight w:val="300"/>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rPr>
                <w:rFonts w:ascii="Century Gothic" w:hAnsi="Century Gothic"/>
                <w:sz w:val="18"/>
                <w:szCs w:val="18"/>
              </w:rPr>
            </w:pPr>
            <w:r>
              <w:rPr>
                <w:rFonts w:ascii="Century Gothic" w:hAnsi="Century Gothic"/>
                <w:sz w:val="18"/>
                <w:szCs w:val="18"/>
              </w:rPr>
              <w:t xml:space="preserve">   Encarregada do pessoal do pessoal de ap. ed.</w:t>
            </w:r>
          </w:p>
        </w:tc>
        <w:tc>
          <w:tcPr>
            <w:tcW w:w="851" w:type="dxa"/>
            <w:tcBorders>
              <w:top w:val="nil"/>
              <w:left w:val="single" w:sz="4" w:space="0" w:color="B2B2B2"/>
              <w:bottom w:val="single" w:sz="4" w:space="0" w:color="B2B2B2"/>
              <w:right w:val="single" w:sz="4" w:space="0" w:color="B2B2B2"/>
            </w:tcBorders>
            <w:shd w:val="clear" w:color="auto" w:fill="FFFFFF"/>
          </w:tcPr>
          <w:p w:rsidR="009F69E5"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1</w:t>
            </w:r>
          </w:p>
        </w:tc>
        <w:tc>
          <w:tcPr>
            <w:tcW w:w="708" w:type="dxa"/>
            <w:tcBorders>
              <w:top w:val="nil"/>
              <w:left w:val="single" w:sz="4" w:space="0" w:color="B2B2B2"/>
              <w:bottom w:val="single" w:sz="4" w:space="0" w:color="B2B2B2"/>
              <w:right w:val="single" w:sz="4" w:space="0" w:color="B2B2B2"/>
            </w:tcBorders>
            <w:shd w:val="clear" w:color="auto" w:fill="FFFFFF"/>
          </w:tcPr>
          <w:p w:rsidR="009F69E5"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1</w:t>
            </w:r>
          </w:p>
        </w:tc>
      </w:tr>
      <w:tr w:rsidR="009F69E5" w:rsidRPr="00D25E46" w:rsidTr="002F20B0">
        <w:trPr>
          <w:trHeight w:val="300"/>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rPr>
                <w:rFonts w:ascii="Century Gothic" w:hAnsi="Century Gothic"/>
                <w:sz w:val="18"/>
                <w:szCs w:val="18"/>
              </w:rPr>
            </w:pPr>
            <w:r>
              <w:rPr>
                <w:rFonts w:ascii="Century Gothic" w:hAnsi="Century Gothic"/>
                <w:sz w:val="18"/>
                <w:szCs w:val="18"/>
              </w:rPr>
              <w:lastRenderedPageBreak/>
              <w:t xml:space="preserve">   </w:t>
            </w:r>
            <w:r w:rsidRPr="00D808B2">
              <w:rPr>
                <w:rFonts w:ascii="Century Gothic" w:hAnsi="Century Gothic"/>
                <w:sz w:val="18"/>
                <w:szCs w:val="18"/>
              </w:rPr>
              <w:t>Assistentes Operacionais</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1</w:t>
            </w:r>
            <w:r w:rsidR="004153DB">
              <w:rPr>
                <w:rFonts w:ascii="Century Gothic" w:hAnsi="Century Gothic"/>
                <w:sz w:val="18"/>
                <w:szCs w:val="18"/>
              </w:rPr>
              <w:t>3</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D808B2" w:rsidRDefault="0068322A" w:rsidP="002F20B0">
            <w:pPr>
              <w:pStyle w:val="Corpodetexto2"/>
              <w:spacing w:line="240" w:lineRule="auto"/>
              <w:jc w:val="center"/>
              <w:rPr>
                <w:rFonts w:ascii="Century Gothic" w:hAnsi="Century Gothic"/>
                <w:sz w:val="18"/>
                <w:szCs w:val="18"/>
              </w:rPr>
            </w:pPr>
            <w:r>
              <w:rPr>
                <w:rFonts w:ascii="Century Gothic" w:hAnsi="Century Gothic"/>
                <w:sz w:val="18"/>
                <w:szCs w:val="18"/>
              </w:rPr>
              <w:t>13</w:t>
            </w:r>
          </w:p>
        </w:tc>
      </w:tr>
      <w:tr w:rsidR="009F69E5" w:rsidRPr="00D25E46" w:rsidTr="002F20B0">
        <w:trPr>
          <w:trHeight w:val="330"/>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right"/>
              <w:rPr>
                <w:rFonts w:ascii="Century Gothic" w:hAnsi="Century Gothic"/>
                <w:b/>
                <w:sz w:val="18"/>
                <w:szCs w:val="18"/>
              </w:rPr>
            </w:pPr>
            <w:r>
              <w:rPr>
                <w:rFonts w:ascii="Century Gothic" w:hAnsi="Century Gothic"/>
                <w:b/>
                <w:sz w:val="18"/>
                <w:szCs w:val="18"/>
              </w:rPr>
              <w:t>=Total</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0D2149" w:rsidRDefault="009F69E5" w:rsidP="002F20B0">
            <w:pPr>
              <w:pStyle w:val="Corpodetexto2"/>
              <w:spacing w:line="240" w:lineRule="auto"/>
              <w:jc w:val="center"/>
              <w:rPr>
                <w:rFonts w:ascii="Century Gothic" w:hAnsi="Century Gothic"/>
                <w:b/>
                <w:sz w:val="18"/>
                <w:szCs w:val="18"/>
              </w:rPr>
            </w:pPr>
            <w:r>
              <w:rPr>
                <w:rFonts w:ascii="Century Gothic" w:hAnsi="Century Gothic"/>
                <w:b/>
                <w:sz w:val="18"/>
                <w:szCs w:val="18"/>
              </w:rPr>
              <w:t>2</w:t>
            </w:r>
            <w:r w:rsidR="004153DB">
              <w:rPr>
                <w:rFonts w:ascii="Century Gothic" w:hAnsi="Century Gothic"/>
                <w:b/>
                <w:sz w:val="18"/>
                <w:szCs w:val="18"/>
              </w:rPr>
              <w:t>4</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0D2149" w:rsidRDefault="0068322A" w:rsidP="002F20B0">
            <w:pPr>
              <w:pStyle w:val="Corpodetexto2"/>
              <w:spacing w:line="240" w:lineRule="auto"/>
              <w:jc w:val="center"/>
              <w:rPr>
                <w:rFonts w:ascii="Century Gothic" w:hAnsi="Century Gothic"/>
                <w:b/>
                <w:sz w:val="18"/>
                <w:szCs w:val="18"/>
              </w:rPr>
            </w:pPr>
            <w:r>
              <w:rPr>
                <w:rFonts w:ascii="Century Gothic" w:hAnsi="Century Gothic"/>
                <w:b/>
                <w:sz w:val="18"/>
                <w:szCs w:val="18"/>
              </w:rPr>
              <w:t>24</w:t>
            </w:r>
          </w:p>
        </w:tc>
      </w:tr>
      <w:tr w:rsidR="009F69E5" w:rsidRPr="00D808B2" w:rsidTr="002F20B0">
        <w:trPr>
          <w:trHeight w:val="315"/>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rPr>
                <w:rFonts w:ascii="Century Gothic" w:hAnsi="Century Gothic"/>
                <w:sz w:val="18"/>
                <w:szCs w:val="18"/>
              </w:rPr>
            </w:pPr>
            <w:r w:rsidRPr="00D808B2">
              <w:rPr>
                <w:rFonts w:ascii="Century Gothic" w:hAnsi="Century Gothic"/>
                <w:b/>
                <w:sz w:val="18"/>
                <w:szCs w:val="18"/>
              </w:rPr>
              <w:t>Dirigentes</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p>
        </w:tc>
        <w:tc>
          <w:tcPr>
            <w:tcW w:w="70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p>
        </w:tc>
      </w:tr>
      <w:tr w:rsidR="009F69E5" w:rsidRPr="000D2149" w:rsidTr="002F20B0">
        <w:trPr>
          <w:trHeight w:val="315"/>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rPr>
                <w:rFonts w:ascii="Century Gothic" w:hAnsi="Century Gothic"/>
                <w:sz w:val="18"/>
                <w:szCs w:val="18"/>
              </w:rPr>
            </w:pPr>
            <w:r>
              <w:rPr>
                <w:rFonts w:ascii="Century Gothic" w:hAnsi="Century Gothic"/>
                <w:sz w:val="18"/>
                <w:szCs w:val="18"/>
              </w:rPr>
              <w:t xml:space="preserve">   Diretor Executivo</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1</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1</w:t>
            </w:r>
          </w:p>
        </w:tc>
      </w:tr>
      <w:tr w:rsidR="009F69E5" w:rsidRPr="00D808B2" w:rsidTr="002F20B0">
        <w:trPr>
          <w:trHeight w:val="315"/>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rPr>
                <w:rFonts w:ascii="Century Gothic" w:hAnsi="Century Gothic"/>
                <w:sz w:val="18"/>
                <w:szCs w:val="18"/>
              </w:rPr>
            </w:pPr>
            <w:r>
              <w:rPr>
                <w:rFonts w:ascii="Century Gothic" w:hAnsi="Century Gothic"/>
                <w:sz w:val="18"/>
                <w:szCs w:val="18"/>
              </w:rPr>
              <w:t xml:space="preserve">   Adjunto da Direção Executiva</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D808B2" w:rsidRDefault="009F69E5" w:rsidP="002F20B0">
            <w:pPr>
              <w:pStyle w:val="Corpodetexto2"/>
              <w:spacing w:line="240" w:lineRule="auto"/>
              <w:jc w:val="center"/>
              <w:rPr>
                <w:rFonts w:ascii="Century Gothic" w:hAnsi="Century Gothic"/>
                <w:sz w:val="18"/>
                <w:szCs w:val="18"/>
              </w:rPr>
            </w:pPr>
            <w:r>
              <w:rPr>
                <w:rFonts w:ascii="Century Gothic" w:hAnsi="Century Gothic"/>
                <w:sz w:val="18"/>
                <w:szCs w:val="18"/>
              </w:rPr>
              <w:t>2</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D808B2" w:rsidRDefault="0068322A" w:rsidP="002F20B0">
            <w:pPr>
              <w:pStyle w:val="Corpodetexto2"/>
              <w:spacing w:line="240" w:lineRule="auto"/>
              <w:jc w:val="center"/>
              <w:rPr>
                <w:rFonts w:ascii="Century Gothic" w:hAnsi="Century Gothic"/>
                <w:sz w:val="18"/>
                <w:szCs w:val="18"/>
              </w:rPr>
            </w:pPr>
            <w:r>
              <w:rPr>
                <w:rFonts w:ascii="Century Gothic" w:hAnsi="Century Gothic"/>
                <w:sz w:val="18"/>
                <w:szCs w:val="18"/>
              </w:rPr>
              <w:t>2</w:t>
            </w:r>
          </w:p>
        </w:tc>
      </w:tr>
      <w:tr w:rsidR="009F69E5" w:rsidRPr="00D808B2" w:rsidTr="002F20B0">
        <w:trPr>
          <w:trHeight w:val="315"/>
          <w:jc w:val="center"/>
        </w:trPr>
        <w:tc>
          <w:tcPr>
            <w:tcW w:w="4748" w:type="dxa"/>
            <w:tcBorders>
              <w:top w:val="nil"/>
              <w:left w:val="single" w:sz="4" w:space="0" w:color="B2B2B2"/>
              <w:bottom w:val="single" w:sz="4" w:space="0" w:color="B2B2B2"/>
              <w:right w:val="single" w:sz="4" w:space="0" w:color="B2B2B2"/>
            </w:tcBorders>
            <w:shd w:val="clear" w:color="auto" w:fill="FFFFFF"/>
          </w:tcPr>
          <w:p w:rsidR="009F69E5" w:rsidRPr="000D2149" w:rsidRDefault="009F69E5" w:rsidP="002F20B0">
            <w:pPr>
              <w:pStyle w:val="Corpodetexto2"/>
              <w:spacing w:line="240" w:lineRule="auto"/>
              <w:jc w:val="right"/>
              <w:rPr>
                <w:rFonts w:ascii="Century Gothic" w:hAnsi="Century Gothic"/>
                <w:b/>
                <w:sz w:val="18"/>
                <w:szCs w:val="18"/>
              </w:rPr>
            </w:pPr>
            <w:r>
              <w:rPr>
                <w:rFonts w:ascii="Century Gothic" w:hAnsi="Century Gothic"/>
                <w:sz w:val="18"/>
                <w:szCs w:val="18"/>
              </w:rPr>
              <w:t xml:space="preserve">   =</w:t>
            </w:r>
            <w:r w:rsidRPr="000D2149">
              <w:rPr>
                <w:rFonts w:ascii="Century Gothic" w:hAnsi="Century Gothic"/>
                <w:b/>
                <w:sz w:val="18"/>
                <w:szCs w:val="18"/>
              </w:rPr>
              <w:t>Total</w:t>
            </w:r>
          </w:p>
        </w:tc>
        <w:tc>
          <w:tcPr>
            <w:tcW w:w="851" w:type="dxa"/>
            <w:tcBorders>
              <w:top w:val="nil"/>
              <w:left w:val="single" w:sz="4" w:space="0" w:color="B2B2B2"/>
              <w:bottom w:val="single" w:sz="4" w:space="0" w:color="B2B2B2"/>
              <w:right w:val="single" w:sz="4" w:space="0" w:color="B2B2B2"/>
            </w:tcBorders>
            <w:shd w:val="clear" w:color="auto" w:fill="FFFFFF"/>
          </w:tcPr>
          <w:p w:rsidR="009F69E5" w:rsidRPr="000D2149" w:rsidRDefault="009F69E5" w:rsidP="002F20B0">
            <w:pPr>
              <w:pStyle w:val="Corpodetexto2"/>
              <w:spacing w:line="240" w:lineRule="auto"/>
              <w:jc w:val="center"/>
              <w:rPr>
                <w:rFonts w:ascii="Century Gothic" w:hAnsi="Century Gothic"/>
                <w:b/>
                <w:sz w:val="18"/>
                <w:szCs w:val="18"/>
              </w:rPr>
            </w:pPr>
            <w:r>
              <w:rPr>
                <w:rFonts w:ascii="Century Gothic" w:hAnsi="Century Gothic"/>
                <w:b/>
                <w:sz w:val="18"/>
                <w:szCs w:val="18"/>
              </w:rPr>
              <w:t>3</w:t>
            </w:r>
          </w:p>
        </w:tc>
        <w:tc>
          <w:tcPr>
            <w:tcW w:w="708" w:type="dxa"/>
            <w:tcBorders>
              <w:top w:val="nil"/>
              <w:left w:val="single" w:sz="4" w:space="0" w:color="B2B2B2"/>
              <w:bottom w:val="single" w:sz="4" w:space="0" w:color="B2B2B2"/>
              <w:right w:val="single" w:sz="4" w:space="0" w:color="B2B2B2"/>
            </w:tcBorders>
            <w:shd w:val="clear" w:color="auto" w:fill="FFFFFF"/>
          </w:tcPr>
          <w:p w:rsidR="009F69E5" w:rsidRPr="000D2149" w:rsidRDefault="0068322A" w:rsidP="002F20B0">
            <w:pPr>
              <w:pStyle w:val="Corpodetexto2"/>
              <w:spacing w:line="240" w:lineRule="auto"/>
              <w:jc w:val="center"/>
              <w:rPr>
                <w:rFonts w:ascii="Century Gothic" w:hAnsi="Century Gothic"/>
                <w:b/>
                <w:sz w:val="18"/>
                <w:szCs w:val="18"/>
              </w:rPr>
            </w:pPr>
            <w:r>
              <w:rPr>
                <w:rFonts w:ascii="Century Gothic" w:hAnsi="Century Gothic"/>
                <w:b/>
                <w:sz w:val="18"/>
                <w:szCs w:val="18"/>
              </w:rPr>
              <w:t>3</w:t>
            </w:r>
          </w:p>
        </w:tc>
      </w:tr>
      <w:tr w:rsidR="009F69E5" w:rsidRPr="00416917" w:rsidTr="002F20B0">
        <w:trPr>
          <w:trHeight w:val="315"/>
          <w:jc w:val="center"/>
        </w:trPr>
        <w:tc>
          <w:tcPr>
            <w:tcW w:w="4748" w:type="dxa"/>
            <w:tcBorders>
              <w:top w:val="single" w:sz="4" w:space="0" w:color="B2B2B2"/>
              <w:left w:val="single" w:sz="4" w:space="0" w:color="B2B2B2"/>
              <w:bottom w:val="single" w:sz="4" w:space="0" w:color="B2B2B2"/>
              <w:right w:val="single" w:sz="4" w:space="0" w:color="B2B2B2"/>
            </w:tcBorders>
            <w:shd w:val="clear" w:color="000000" w:fill="8DB3E2"/>
          </w:tcPr>
          <w:p w:rsidR="009F69E5" w:rsidRPr="00416917" w:rsidRDefault="009F69E5" w:rsidP="002F20B0">
            <w:pPr>
              <w:pStyle w:val="Corpodetexto2"/>
              <w:spacing w:line="240" w:lineRule="auto"/>
              <w:jc w:val="left"/>
              <w:rPr>
                <w:rFonts w:ascii="Century Gothic" w:hAnsi="Century Gothic"/>
                <w:b/>
                <w:sz w:val="18"/>
                <w:szCs w:val="18"/>
              </w:rPr>
            </w:pPr>
            <w:r w:rsidRPr="00416917">
              <w:rPr>
                <w:rFonts w:ascii="Century Gothic" w:hAnsi="Century Gothic"/>
                <w:b/>
                <w:sz w:val="18"/>
                <w:szCs w:val="18"/>
                <w:shd w:val="clear" w:color="auto" w:fill="8DB3E2"/>
              </w:rPr>
              <w:t>Pessoal Docente</w:t>
            </w:r>
            <w:r w:rsidRPr="00416917">
              <w:rPr>
                <w:rFonts w:ascii="Century Gothic" w:hAnsi="Century Gothic"/>
                <w:b/>
                <w:sz w:val="18"/>
                <w:szCs w:val="18"/>
              </w:rPr>
              <w:t>, Monitores, Pessoal não docente e Dirigentes</w:t>
            </w:r>
          </w:p>
        </w:tc>
        <w:tc>
          <w:tcPr>
            <w:tcW w:w="851" w:type="dxa"/>
            <w:tcBorders>
              <w:top w:val="single" w:sz="4" w:space="0" w:color="B2B2B2"/>
              <w:left w:val="single" w:sz="4" w:space="0" w:color="B2B2B2"/>
              <w:bottom w:val="single" w:sz="4" w:space="0" w:color="B2B2B2"/>
              <w:right w:val="single" w:sz="4" w:space="0" w:color="B2B2B2"/>
            </w:tcBorders>
            <w:shd w:val="clear" w:color="000000" w:fill="8DB3E2"/>
          </w:tcPr>
          <w:p w:rsidR="009F69E5" w:rsidRPr="00416917" w:rsidRDefault="009F69E5" w:rsidP="002F20B0">
            <w:pPr>
              <w:pStyle w:val="Corpodetexto2"/>
              <w:spacing w:line="240" w:lineRule="auto"/>
              <w:jc w:val="center"/>
              <w:rPr>
                <w:rFonts w:ascii="Century Gothic" w:hAnsi="Century Gothic"/>
                <w:b/>
                <w:sz w:val="18"/>
                <w:szCs w:val="18"/>
              </w:rPr>
            </w:pPr>
            <w:r>
              <w:rPr>
                <w:rFonts w:ascii="Century Gothic" w:hAnsi="Century Gothic"/>
                <w:b/>
                <w:sz w:val="18"/>
                <w:szCs w:val="18"/>
              </w:rPr>
              <w:t>3</w:t>
            </w:r>
            <w:r w:rsidR="0068322A">
              <w:rPr>
                <w:rFonts w:ascii="Century Gothic" w:hAnsi="Century Gothic"/>
                <w:b/>
                <w:sz w:val="18"/>
                <w:szCs w:val="18"/>
              </w:rPr>
              <w:t>2</w:t>
            </w:r>
          </w:p>
        </w:tc>
        <w:tc>
          <w:tcPr>
            <w:tcW w:w="708" w:type="dxa"/>
            <w:tcBorders>
              <w:top w:val="single" w:sz="4" w:space="0" w:color="B2B2B2"/>
              <w:left w:val="single" w:sz="4" w:space="0" w:color="B2B2B2"/>
              <w:bottom w:val="single" w:sz="4" w:space="0" w:color="B2B2B2"/>
              <w:right w:val="single" w:sz="4" w:space="0" w:color="B2B2B2"/>
            </w:tcBorders>
            <w:shd w:val="clear" w:color="000000" w:fill="8DB3E2"/>
          </w:tcPr>
          <w:p w:rsidR="009F69E5" w:rsidRPr="00416917" w:rsidRDefault="0068322A" w:rsidP="002F20B0">
            <w:pPr>
              <w:pStyle w:val="Corpodetexto2"/>
              <w:spacing w:line="240" w:lineRule="auto"/>
              <w:jc w:val="center"/>
              <w:rPr>
                <w:rFonts w:ascii="Century Gothic" w:hAnsi="Century Gothic"/>
                <w:b/>
                <w:sz w:val="18"/>
                <w:szCs w:val="18"/>
              </w:rPr>
            </w:pPr>
            <w:r>
              <w:rPr>
                <w:rFonts w:ascii="Century Gothic" w:hAnsi="Century Gothic"/>
                <w:b/>
                <w:sz w:val="18"/>
                <w:szCs w:val="18"/>
              </w:rPr>
              <w:t>33</w:t>
            </w:r>
          </w:p>
        </w:tc>
      </w:tr>
    </w:tbl>
    <w:p w:rsidR="00D4393D" w:rsidRDefault="00D4393D" w:rsidP="00EF571E">
      <w:pPr>
        <w:widowControl/>
        <w:jc w:val="both"/>
        <w:rPr>
          <w:rFonts w:ascii="Century Gothic" w:hAnsi="Century Gothic"/>
        </w:rPr>
      </w:pPr>
    </w:p>
    <w:p w:rsidR="004153DB" w:rsidRDefault="004153DB" w:rsidP="00EF571E">
      <w:pPr>
        <w:widowControl/>
        <w:jc w:val="both"/>
        <w:rPr>
          <w:rFonts w:ascii="Century Gothic" w:hAnsi="Century Gothic"/>
        </w:rPr>
      </w:pPr>
      <w:r>
        <w:rPr>
          <w:rFonts w:ascii="Century Gothic" w:hAnsi="Century Gothic"/>
        </w:rPr>
        <w:t>O professor</w:t>
      </w:r>
      <w:r w:rsidR="00344FCD">
        <w:rPr>
          <w:rFonts w:ascii="Century Gothic" w:hAnsi="Century Gothic"/>
        </w:rPr>
        <w:t xml:space="preserve"> do quadro</w:t>
      </w:r>
      <w:r>
        <w:rPr>
          <w:rFonts w:ascii="Century Gothic" w:hAnsi="Century Gothic"/>
        </w:rPr>
        <w:t xml:space="preserve"> afeto à Direção Executiva aparece </w:t>
      </w:r>
      <w:r w:rsidR="00344FCD">
        <w:rPr>
          <w:rFonts w:ascii="Century Gothic" w:hAnsi="Century Gothic"/>
        </w:rPr>
        <w:t>apenas na parte dos Adjuntos da Direção</w:t>
      </w:r>
      <w:r w:rsidR="00DA44C6">
        <w:rPr>
          <w:rFonts w:ascii="Century Gothic" w:hAnsi="Century Gothic"/>
        </w:rPr>
        <w:t xml:space="preserve"> Executiva</w:t>
      </w:r>
      <w:r w:rsidR="00344FCD">
        <w:rPr>
          <w:rFonts w:ascii="Century Gothic" w:hAnsi="Century Gothic"/>
        </w:rPr>
        <w:t>, para não aparecer duas vezes neste quadro e assim não inflacionar de uma forma incorreta o número total.</w:t>
      </w:r>
    </w:p>
    <w:p w:rsidR="00D4393D" w:rsidRDefault="00D4393D" w:rsidP="00EF571E">
      <w:pPr>
        <w:widowControl/>
        <w:jc w:val="both"/>
        <w:rPr>
          <w:rFonts w:ascii="Century Gothic" w:hAnsi="Century Gothic"/>
        </w:rPr>
      </w:pPr>
    </w:p>
    <w:p w:rsidR="00344FCD" w:rsidRDefault="00344FCD" w:rsidP="00EF571E">
      <w:pPr>
        <w:widowControl/>
        <w:jc w:val="both"/>
        <w:rPr>
          <w:rFonts w:ascii="Century Gothic" w:hAnsi="Century Gothic"/>
        </w:rPr>
      </w:pPr>
    </w:p>
    <w:p w:rsidR="00606297" w:rsidRPr="00705862" w:rsidRDefault="00606297" w:rsidP="00606297">
      <w:pPr>
        <w:pStyle w:val="PargrafodaLista"/>
        <w:ind w:left="0"/>
        <w:jc w:val="both"/>
        <w:rPr>
          <w:rFonts w:ascii="Century Gothic" w:hAnsi="Century Gothic"/>
          <w:b/>
        </w:rPr>
      </w:pPr>
      <w:r>
        <w:rPr>
          <w:rFonts w:ascii="Century Gothic" w:hAnsi="Century Gothic"/>
          <w:b/>
        </w:rPr>
        <w:t>2.6 – Organização contabilística</w:t>
      </w:r>
    </w:p>
    <w:p w:rsidR="00F57C3D" w:rsidRDefault="00F57C3D" w:rsidP="00EF571E">
      <w:pPr>
        <w:widowControl/>
        <w:jc w:val="both"/>
        <w:rPr>
          <w:rFonts w:ascii="Century Gothic" w:hAnsi="Century Gothic"/>
        </w:rPr>
      </w:pPr>
    </w:p>
    <w:p w:rsidR="00606297" w:rsidRDefault="00606297" w:rsidP="00606297">
      <w:pPr>
        <w:jc w:val="both"/>
        <w:rPr>
          <w:rFonts w:ascii="Century Gothic" w:hAnsi="Century Gothic"/>
        </w:rPr>
      </w:pPr>
      <w:r>
        <w:rPr>
          <w:rFonts w:ascii="Century Gothic" w:hAnsi="Century Gothic"/>
        </w:rPr>
        <w:t>Em 2018, foi implementado, com a colaboração da Direção Regional da Educação, o programa de contabilidade GERFIP.</w:t>
      </w:r>
    </w:p>
    <w:p w:rsidR="00606297" w:rsidRDefault="00606297" w:rsidP="00606297">
      <w:pPr>
        <w:jc w:val="both"/>
        <w:rPr>
          <w:rFonts w:ascii="Century Gothic" w:hAnsi="Century Gothic"/>
        </w:rPr>
      </w:pPr>
    </w:p>
    <w:p w:rsidR="00274A41" w:rsidRDefault="00274A41" w:rsidP="00274A41">
      <w:pPr>
        <w:jc w:val="both"/>
        <w:rPr>
          <w:rFonts w:ascii="Century Gothic" w:hAnsi="Century Gothic"/>
        </w:rPr>
      </w:pPr>
      <w:r>
        <w:rPr>
          <w:rFonts w:ascii="Century Gothic" w:hAnsi="Century Gothic"/>
        </w:rPr>
        <w:t>Este programa integra a gestão logística, orçamental, financeira e patrimonial.</w:t>
      </w:r>
    </w:p>
    <w:p w:rsidR="00274A41" w:rsidRDefault="00274A41" w:rsidP="00274A41">
      <w:pPr>
        <w:jc w:val="both"/>
        <w:rPr>
          <w:rFonts w:ascii="Century Gothic" w:hAnsi="Century Gothic"/>
        </w:rPr>
      </w:pPr>
    </w:p>
    <w:p w:rsidR="00274A41" w:rsidRDefault="00274A41" w:rsidP="00274A41">
      <w:pPr>
        <w:jc w:val="both"/>
        <w:rPr>
          <w:rFonts w:ascii="Century Gothic" w:hAnsi="Century Gothic"/>
        </w:rPr>
      </w:pPr>
      <w:r>
        <w:rPr>
          <w:rFonts w:ascii="Century Gothic" w:hAnsi="Century Gothic"/>
        </w:rPr>
        <w:t>Esta solução informática assenta em mecanismos automáticos de movimentos contabilísticos. Trata-se de um sistema de gestão financeira e contabilística em que os movimentos contabilísticos e patrimoniais são gerados à medida que as tarefas e as operações inerentes à execução orçamental são efetuadas.</w:t>
      </w:r>
    </w:p>
    <w:p w:rsidR="00274A41" w:rsidRDefault="00274A41" w:rsidP="00274A41">
      <w:pPr>
        <w:jc w:val="both"/>
        <w:rPr>
          <w:rFonts w:ascii="Century Gothic" w:hAnsi="Century Gothic"/>
        </w:rPr>
      </w:pPr>
    </w:p>
    <w:p w:rsidR="00274A41" w:rsidRDefault="00274A41" w:rsidP="00274A41">
      <w:pPr>
        <w:jc w:val="both"/>
        <w:rPr>
          <w:rFonts w:ascii="Century Gothic" w:hAnsi="Century Gothic"/>
        </w:rPr>
      </w:pPr>
      <w:r>
        <w:rPr>
          <w:rFonts w:ascii="Century Gothic" w:hAnsi="Century Gothic"/>
        </w:rPr>
        <w:t>Este automatismo é conseguido graças a um sistema de equivalências e ligações entre a classificação económica das despesas e das receitas, o código do artigo a utilizar (no caso das despesas) e o código de contas previsto no SNC-AP.</w:t>
      </w:r>
    </w:p>
    <w:p w:rsidR="00274A41" w:rsidRPr="00EB244D" w:rsidRDefault="00274A41" w:rsidP="00606297">
      <w:pPr>
        <w:jc w:val="both"/>
        <w:rPr>
          <w:rFonts w:ascii="Century Gothic" w:hAnsi="Century Gothic"/>
        </w:rPr>
      </w:pPr>
    </w:p>
    <w:p w:rsidR="00606297" w:rsidRPr="00EB244D" w:rsidRDefault="00606297" w:rsidP="00606297">
      <w:pPr>
        <w:jc w:val="both"/>
        <w:rPr>
          <w:rFonts w:ascii="Century Gothic" w:hAnsi="Century Gothic"/>
        </w:rPr>
      </w:pPr>
      <w:r>
        <w:rPr>
          <w:rFonts w:ascii="Century Gothic" w:hAnsi="Century Gothic"/>
        </w:rPr>
        <w:t>As autorizações de pagamento são arquivadas por ordem numérica, estando em anexo as respetivas faturas, nota de encomenda (quando se aplica), autorização de despesa e informação de cabimento. No caso de despesas a realizar ao longo do ano, cujo cabimento, autorização e compromisso é contabilizado no início do ano, o processo é arquivado à parte, sendo mencionado na fatura o número de compromisso ou número da nota de encomenda conforme o caso.</w:t>
      </w:r>
    </w:p>
    <w:p w:rsidR="00F57C3D" w:rsidRPr="0033691D" w:rsidRDefault="00F57C3D" w:rsidP="00EF571E">
      <w:pPr>
        <w:widowControl/>
        <w:jc w:val="both"/>
        <w:rPr>
          <w:rFonts w:ascii="Century Gothic" w:hAnsi="Century Gothic"/>
        </w:rPr>
      </w:pPr>
    </w:p>
    <w:p w:rsidR="00274A41" w:rsidRPr="00EB244D" w:rsidRDefault="0068322A" w:rsidP="00274A41">
      <w:pPr>
        <w:jc w:val="both"/>
        <w:rPr>
          <w:rFonts w:ascii="Century Gothic" w:hAnsi="Century Gothic"/>
        </w:rPr>
      </w:pPr>
      <w:r>
        <w:rPr>
          <w:rFonts w:ascii="Century Gothic" w:hAnsi="Century Gothic"/>
        </w:rPr>
        <w:t>É</w:t>
      </w:r>
      <w:r w:rsidR="009F5AFC">
        <w:rPr>
          <w:rFonts w:ascii="Century Gothic" w:hAnsi="Century Gothic"/>
        </w:rPr>
        <w:t xml:space="preserve"> efe</w:t>
      </w:r>
      <w:r>
        <w:rPr>
          <w:rFonts w:ascii="Century Gothic" w:hAnsi="Century Gothic"/>
        </w:rPr>
        <w:t>t</w:t>
      </w:r>
      <w:r w:rsidR="009F5AFC">
        <w:rPr>
          <w:rFonts w:ascii="Century Gothic" w:hAnsi="Century Gothic"/>
        </w:rPr>
        <w:t>u</w:t>
      </w:r>
      <w:r>
        <w:rPr>
          <w:rFonts w:ascii="Century Gothic" w:hAnsi="Century Gothic"/>
        </w:rPr>
        <w:t>ada</w:t>
      </w:r>
      <w:r w:rsidR="00274A41">
        <w:rPr>
          <w:rFonts w:ascii="Century Gothic" w:hAnsi="Century Gothic"/>
        </w:rPr>
        <w:t xml:space="preserve">, mensalmente, </w:t>
      </w:r>
      <w:r>
        <w:rPr>
          <w:rFonts w:ascii="Century Gothic" w:hAnsi="Century Gothic"/>
        </w:rPr>
        <w:t>a reconciliação</w:t>
      </w:r>
      <w:r w:rsidR="00274A41">
        <w:rPr>
          <w:rFonts w:ascii="Century Gothic" w:hAnsi="Century Gothic"/>
        </w:rPr>
        <w:t xml:space="preserve"> bancária, pelo que sempre que é detetada alguma divergência, </w:t>
      </w:r>
      <w:r w:rsidR="009F5AFC">
        <w:rPr>
          <w:rFonts w:ascii="Century Gothic" w:hAnsi="Century Gothic"/>
        </w:rPr>
        <w:t>são desenvolvidos os procedimentos necessários</w:t>
      </w:r>
      <w:r w:rsidR="00274A41">
        <w:rPr>
          <w:rFonts w:ascii="Century Gothic" w:hAnsi="Century Gothic"/>
        </w:rPr>
        <w:t>, no sentido de corrigir a situação irregular.</w:t>
      </w:r>
    </w:p>
    <w:p w:rsidR="00274A41" w:rsidRDefault="00274A41" w:rsidP="00274A41">
      <w:pPr>
        <w:widowControl/>
        <w:jc w:val="both"/>
        <w:rPr>
          <w:rFonts w:ascii="Century Gothic" w:hAnsi="Century Gothic"/>
        </w:rPr>
      </w:pPr>
    </w:p>
    <w:p w:rsidR="00274A41" w:rsidRDefault="00274A41" w:rsidP="00274A41">
      <w:pPr>
        <w:widowControl/>
        <w:jc w:val="both"/>
        <w:rPr>
          <w:rFonts w:ascii="Century Gothic" w:hAnsi="Century Gothic"/>
        </w:rPr>
      </w:pPr>
    </w:p>
    <w:p w:rsidR="009B1D38" w:rsidRDefault="009B1D38" w:rsidP="00274A41">
      <w:pPr>
        <w:widowControl/>
        <w:jc w:val="both"/>
        <w:rPr>
          <w:rFonts w:ascii="Century Gothic" w:hAnsi="Century Gothic"/>
        </w:rPr>
      </w:pPr>
    </w:p>
    <w:p w:rsidR="009B1D38" w:rsidRDefault="009B1D38" w:rsidP="00274A41">
      <w:pPr>
        <w:widowControl/>
        <w:jc w:val="both"/>
        <w:rPr>
          <w:rFonts w:ascii="Century Gothic" w:hAnsi="Century Gothic"/>
        </w:rPr>
      </w:pPr>
    </w:p>
    <w:p w:rsidR="009B1D38" w:rsidRDefault="009B1D38" w:rsidP="00274A41">
      <w:pPr>
        <w:widowControl/>
        <w:jc w:val="both"/>
        <w:rPr>
          <w:rFonts w:ascii="Century Gothic" w:hAnsi="Century Gothic"/>
        </w:rPr>
      </w:pPr>
    </w:p>
    <w:p w:rsidR="009F5AFC" w:rsidRDefault="009F5AFC" w:rsidP="00274A41">
      <w:pPr>
        <w:widowControl/>
        <w:jc w:val="both"/>
        <w:rPr>
          <w:rFonts w:ascii="Century Gothic" w:hAnsi="Century Gothic"/>
        </w:rPr>
      </w:pPr>
    </w:p>
    <w:p w:rsidR="009F5AFC" w:rsidRDefault="009F5AFC" w:rsidP="00274A41">
      <w:pPr>
        <w:widowControl/>
        <w:jc w:val="both"/>
        <w:rPr>
          <w:rFonts w:ascii="Century Gothic" w:hAnsi="Century Gothic"/>
        </w:rPr>
      </w:pPr>
    </w:p>
    <w:p w:rsidR="009F5AFC" w:rsidRDefault="009F5AFC" w:rsidP="00274A41">
      <w:pPr>
        <w:widowControl/>
        <w:jc w:val="both"/>
        <w:rPr>
          <w:rFonts w:ascii="Century Gothic" w:hAnsi="Century Gothic"/>
        </w:rPr>
      </w:pPr>
    </w:p>
    <w:p w:rsidR="009B1D38" w:rsidRDefault="009B1D38" w:rsidP="00274A41">
      <w:pPr>
        <w:pStyle w:val="PargrafodaLista"/>
        <w:ind w:left="0"/>
        <w:jc w:val="both"/>
        <w:rPr>
          <w:rFonts w:ascii="Century Gothic" w:hAnsi="Century Gothic"/>
          <w:b/>
        </w:rPr>
      </w:pPr>
    </w:p>
    <w:p w:rsidR="009F5AFC" w:rsidRDefault="009F5AFC" w:rsidP="00274A41">
      <w:pPr>
        <w:pStyle w:val="PargrafodaLista"/>
        <w:ind w:left="0"/>
        <w:jc w:val="both"/>
        <w:rPr>
          <w:rFonts w:ascii="Century Gothic" w:hAnsi="Century Gothic"/>
          <w:b/>
        </w:rPr>
      </w:pPr>
    </w:p>
    <w:p w:rsidR="00274A41" w:rsidRDefault="00274A41" w:rsidP="00274A41">
      <w:pPr>
        <w:pStyle w:val="PargrafodaLista"/>
        <w:ind w:left="0"/>
        <w:jc w:val="both"/>
        <w:rPr>
          <w:rFonts w:ascii="Century Gothic" w:hAnsi="Century Gothic"/>
          <w:b/>
        </w:rPr>
      </w:pPr>
      <w:r>
        <w:rPr>
          <w:rFonts w:ascii="Century Gothic" w:hAnsi="Century Gothic"/>
          <w:b/>
        </w:rPr>
        <w:t>3 – Demonstrações financeiras</w:t>
      </w:r>
    </w:p>
    <w:p w:rsidR="009B1D38" w:rsidRPr="00705862" w:rsidRDefault="009B1D38" w:rsidP="00274A41">
      <w:pPr>
        <w:pStyle w:val="PargrafodaLista"/>
        <w:ind w:left="0"/>
        <w:jc w:val="both"/>
        <w:rPr>
          <w:rFonts w:ascii="Century Gothic" w:hAnsi="Century Gothic"/>
          <w:b/>
        </w:rPr>
      </w:pPr>
    </w:p>
    <w:p w:rsidR="00562FFA" w:rsidRDefault="00562FFA" w:rsidP="00EF571E">
      <w:pPr>
        <w:pStyle w:val="Corpodetexto2"/>
        <w:tabs>
          <w:tab w:val="clear" w:pos="1134"/>
          <w:tab w:val="left" w:pos="426"/>
        </w:tabs>
        <w:spacing w:line="240" w:lineRule="auto"/>
        <w:rPr>
          <w:rFonts w:ascii="Century Gothic" w:hAnsi="Century Gothic"/>
          <w:b/>
          <w:sz w:val="18"/>
          <w:szCs w:val="18"/>
          <w:highlight w:val="cyan"/>
        </w:rPr>
      </w:pPr>
    </w:p>
    <w:p w:rsidR="000D2EBE" w:rsidRDefault="00562FFA" w:rsidP="00EF571E">
      <w:pPr>
        <w:pStyle w:val="Corpodetexto2"/>
        <w:tabs>
          <w:tab w:val="clear" w:pos="1134"/>
          <w:tab w:val="left" w:pos="426"/>
        </w:tabs>
        <w:spacing w:line="240" w:lineRule="auto"/>
        <w:rPr>
          <w:rFonts w:ascii="Century Gothic" w:hAnsi="Century Gothic"/>
          <w:sz w:val="20"/>
        </w:rPr>
      </w:pPr>
      <w:r w:rsidRPr="00562FFA">
        <w:rPr>
          <w:rFonts w:ascii="Century Gothic" w:hAnsi="Century Gothic"/>
          <w:sz w:val="20"/>
        </w:rPr>
        <w:t>A</w:t>
      </w:r>
      <w:r>
        <w:rPr>
          <w:rFonts w:ascii="Century Gothic" w:hAnsi="Century Gothic"/>
          <w:sz w:val="20"/>
        </w:rPr>
        <w:t>s presentes demonstrações financeiras</w:t>
      </w:r>
      <w:r w:rsidR="004B3486">
        <w:rPr>
          <w:rFonts w:ascii="Century Gothic" w:hAnsi="Century Gothic"/>
          <w:sz w:val="20"/>
        </w:rPr>
        <w:t xml:space="preserve"> (DF)</w:t>
      </w:r>
      <w:r>
        <w:rPr>
          <w:rFonts w:ascii="Century Gothic" w:hAnsi="Century Gothic"/>
          <w:sz w:val="20"/>
        </w:rPr>
        <w:t xml:space="preserve"> são divulgadas, por esta entidade, de acordo com as Normas da Contabilidade Pública expressas no Sistema de Normalização Contabilística para as Administrações Públicas (SNC-AP), aprovado pelo Decreto-Lei n.º 192/2015, de 11 de setembro.</w:t>
      </w:r>
    </w:p>
    <w:p w:rsidR="00562FFA" w:rsidRDefault="00562FFA" w:rsidP="00EF571E">
      <w:pPr>
        <w:pStyle w:val="Corpodetexto2"/>
        <w:tabs>
          <w:tab w:val="clear" w:pos="1134"/>
          <w:tab w:val="left" w:pos="426"/>
        </w:tabs>
        <w:spacing w:line="240" w:lineRule="auto"/>
        <w:rPr>
          <w:rFonts w:ascii="Century Gothic" w:hAnsi="Century Gothic"/>
          <w:sz w:val="20"/>
        </w:rPr>
      </w:pPr>
    </w:p>
    <w:p w:rsidR="009B1D38" w:rsidRDefault="009B1D38" w:rsidP="00EF571E">
      <w:pPr>
        <w:pStyle w:val="Corpodetexto2"/>
        <w:tabs>
          <w:tab w:val="clear" w:pos="1134"/>
          <w:tab w:val="left" w:pos="426"/>
        </w:tabs>
        <w:spacing w:line="240" w:lineRule="auto"/>
        <w:rPr>
          <w:rFonts w:ascii="Century Gothic" w:hAnsi="Century Gothic"/>
          <w:sz w:val="20"/>
        </w:rPr>
      </w:pPr>
    </w:p>
    <w:p w:rsidR="00562FFA" w:rsidRDefault="00C04769" w:rsidP="00EF571E">
      <w:pPr>
        <w:pStyle w:val="Corpodetexto2"/>
        <w:tabs>
          <w:tab w:val="clear" w:pos="1134"/>
          <w:tab w:val="left" w:pos="426"/>
        </w:tabs>
        <w:spacing w:line="240" w:lineRule="auto"/>
        <w:rPr>
          <w:rFonts w:ascii="Century Gothic" w:hAnsi="Century Gothic"/>
          <w:sz w:val="20"/>
        </w:rPr>
      </w:pPr>
      <w:r>
        <w:rPr>
          <w:rFonts w:ascii="Century Gothic" w:hAnsi="Century Gothic"/>
          <w:sz w:val="20"/>
        </w:rPr>
        <w:t>Estes documentos são uma representação estruturada da posição financeira e do desempenho financeiro de uma entidade, dando a conhecer as alterações dessa posição financeira, do desempenho e dos fluxos de caixa dessa entidade, com base em informações sobre os seus ativos, passivos, património líquido, rendimentos, gastos, outras alterações no património líquido e fluxos de caixa.</w:t>
      </w:r>
    </w:p>
    <w:p w:rsidR="00C04769" w:rsidRDefault="00C04769" w:rsidP="00EF571E">
      <w:pPr>
        <w:pStyle w:val="Corpodetexto2"/>
        <w:tabs>
          <w:tab w:val="clear" w:pos="1134"/>
          <w:tab w:val="left" w:pos="426"/>
        </w:tabs>
        <w:spacing w:line="240" w:lineRule="auto"/>
        <w:rPr>
          <w:rFonts w:ascii="Century Gothic" w:hAnsi="Century Gothic"/>
          <w:sz w:val="20"/>
        </w:rPr>
      </w:pPr>
    </w:p>
    <w:p w:rsidR="009B1D38" w:rsidRDefault="009B1D38" w:rsidP="00EF571E">
      <w:pPr>
        <w:pStyle w:val="Corpodetexto2"/>
        <w:tabs>
          <w:tab w:val="clear" w:pos="1134"/>
          <w:tab w:val="left" w:pos="426"/>
        </w:tabs>
        <w:spacing w:line="240" w:lineRule="auto"/>
        <w:rPr>
          <w:rFonts w:ascii="Century Gothic" w:hAnsi="Century Gothic"/>
          <w:sz w:val="20"/>
        </w:rPr>
      </w:pPr>
    </w:p>
    <w:p w:rsidR="00C04769" w:rsidRPr="00562FFA" w:rsidRDefault="00C04769" w:rsidP="00EF571E">
      <w:pPr>
        <w:pStyle w:val="Corpodetexto2"/>
        <w:tabs>
          <w:tab w:val="clear" w:pos="1134"/>
          <w:tab w:val="left" w:pos="426"/>
        </w:tabs>
        <w:spacing w:line="240" w:lineRule="auto"/>
        <w:rPr>
          <w:rFonts w:ascii="Century Gothic" w:hAnsi="Century Gothic"/>
          <w:sz w:val="20"/>
        </w:rPr>
      </w:pPr>
      <w:r>
        <w:rPr>
          <w:rFonts w:ascii="Century Gothic" w:hAnsi="Century Gothic"/>
          <w:sz w:val="20"/>
        </w:rPr>
        <w:t>Consequentemente, os seus objetivos principais são o de proporcionar informação financeira, do desempenho financeiro e dos fluxos de caixa de uma entidade, permitindo assim que um conjunto vasto de utilizadores possa tomar decisões.</w:t>
      </w:r>
    </w:p>
    <w:p w:rsidR="00EF571E" w:rsidRDefault="00EF571E" w:rsidP="00EF571E">
      <w:pPr>
        <w:pStyle w:val="Corpodetexto2"/>
        <w:tabs>
          <w:tab w:val="clear" w:pos="1134"/>
          <w:tab w:val="left" w:pos="426"/>
        </w:tabs>
        <w:spacing w:line="240" w:lineRule="auto"/>
        <w:ind w:left="1080"/>
        <w:rPr>
          <w:rFonts w:ascii="Century Gothic" w:hAnsi="Century Gothic"/>
          <w:sz w:val="18"/>
          <w:szCs w:val="18"/>
          <w:highlight w:val="cyan"/>
        </w:rPr>
      </w:pPr>
    </w:p>
    <w:p w:rsidR="009B1D38" w:rsidRPr="0033691D" w:rsidRDefault="009B1D38" w:rsidP="00EF571E">
      <w:pPr>
        <w:pStyle w:val="Corpodetexto2"/>
        <w:tabs>
          <w:tab w:val="clear" w:pos="1134"/>
          <w:tab w:val="left" w:pos="426"/>
        </w:tabs>
        <w:spacing w:line="240" w:lineRule="auto"/>
        <w:ind w:left="1080"/>
        <w:rPr>
          <w:rFonts w:ascii="Century Gothic" w:hAnsi="Century Gothic"/>
          <w:sz w:val="18"/>
          <w:szCs w:val="18"/>
          <w:highlight w:val="cyan"/>
        </w:rPr>
      </w:pPr>
    </w:p>
    <w:p w:rsidR="00EF571E" w:rsidRPr="009F5AFC" w:rsidRDefault="004B3486" w:rsidP="00EF571E">
      <w:pPr>
        <w:widowControl/>
        <w:autoSpaceDE w:val="0"/>
        <w:autoSpaceDN w:val="0"/>
        <w:adjustRightInd w:val="0"/>
        <w:jc w:val="both"/>
        <w:rPr>
          <w:rFonts w:ascii="Century Gothic" w:hAnsi="Century Gothic"/>
        </w:rPr>
      </w:pPr>
      <w:r w:rsidRPr="009F5AFC">
        <w:rPr>
          <w:rFonts w:ascii="Century Gothic" w:hAnsi="Century Gothic"/>
        </w:rPr>
        <w:t>As DF foram apresentadas de acordo com a Norma Contabilística Pública (NCP) n.º 1 – Estrutura e conteúdo das demonstrações financeiras, que estabelece a base para a apresentação das DF individuais e consolidadas, consubstanciando-se em componentes principais do relato financeiro e uma entidade pública ou grupo público, garantindo assim a sua comparabilidade, quer com as demonstrações financeiras de períodos anteriores, quer com as de outras entidades.</w:t>
      </w:r>
    </w:p>
    <w:p w:rsidR="004B3486" w:rsidRPr="009F5AFC" w:rsidRDefault="004B3486" w:rsidP="00EF571E">
      <w:pPr>
        <w:widowControl/>
        <w:autoSpaceDE w:val="0"/>
        <w:autoSpaceDN w:val="0"/>
        <w:adjustRightInd w:val="0"/>
        <w:jc w:val="both"/>
        <w:rPr>
          <w:rFonts w:ascii="Century Gothic" w:hAnsi="Century Gothic"/>
        </w:rPr>
      </w:pPr>
    </w:p>
    <w:p w:rsidR="009B1D38" w:rsidRPr="009F5AFC" w:rsidRDefault="009B1D38" w:rsidP="00EF571E">
      <w:pPr>
        <w:widowControl/>
        <w:autoSpaceDE w:val="0"/>
        <w:autoSpaceDN w:val="0"/>
        <w:adjustRightInd w:val="0"/>
        <w:jc w:val="both"/>
        <w:rPr>
          <w:rFonts w:ascii="Century Gothic" w:hAnsi="Century Gothic"/>
        </w:rPr>
      </w:pPr>
    </w:p>
    <w:p w:rsidR="004B3486" w:rsidRPr="009F5AFC" w:rsidRDefault="004B3486" w:rsidP="00EF571E">
      <w:pPr>
        <w:widowControl/>
        <w:autoSpaceDE w:val="0"/>
        <w:autoSpaceDN w:val="0"/>
        <w:adjustRightInd w:val="0"/>
        <w:jc w:val="both"/>
        <w:rPr>
          <w:rFonts w:ascii="Century Gothic" w:hAnsi="Century Gothic"/>
        </w:rPr>
      </w:pPr>
      <w:r w:rsidRPr="009F5AFC">
        <w:rPr>
          <w:rFonts w:ascii="Century Gothic" w:hAnsi="Century Gothic"/>
        </w:rPr>
        <w:t>A moeda funcional e de apresentação é o euro.</w:t>
      </w:r>
    </w:p>
    <w:p w:rsidR="002A261A" w:rsidRDefault="002A261A" w:rsidP="00EF571E">
      <w:pPr>
        <w:widowControl/>
        <w:autoSpaceDE w:val="0"/>
        <w:autoSpaceDN w:val="0"/>
        <w:adjustRightInd w:val="0"/>
        <w:jc w:val="both"/>
        <w:rPr>
          <w:rFonts w:ascii="Century Gothic" w:hAnsi="Century Gothic"/>
          <w:sz w:val="18"/>
          <w:szCs w:val="18"/>
        </w:rPr>
      </w:pPr>
    </w:p>
    <w:p w:rsidR="002A261A" w:rsidRDefault="002A261A"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9B1D38" w:rsidRDefault="009B1D38" w:rsidP="00EF571E">
      <w:pPr>
        <w:widowControl/>
        <w:autoSpaceDE w:val="0"/>
        <w:autoSpaceDN w:val="0"/>
        <w:adjustRightInd w:val="0"/>
        <w:jc w:val="both"/>
        <w:rPr>
          <w:rFonts w:ascii="Century Gothic" w:hAnsi="Century Gothic"/>
          <w:sz w:val="18"/>
          <w:szCs w:val="18"/>
        </w:rPr>
      </w:pPr>
    </w:p>
    <w:p w:rsidR="000847AA" w:rsidRPr="00705862" w:rsidRDefault="000847AA" w:rsidP="000847AA">
      <w:pPr>
        <w:pStyle w:val="PargrafodaLista"/>
        <w:ind w:left="0"/>
        <w:jc w:val="both"/>
        <w:rPr>
          <w:rFonts w:ascii="Century Gothic" w:hAnsi="Century Gothic"/>
          <w:b/>
        </w:rPr>
      </w:pPr>
      <w:r>
        <w:rPr>
          <w:rFonts w:ascii="Century Gothic" w:hAnsi="Century Gothic"/>
          <w:b/>
        </w:rPr>
        <w:t>3.1 – Balanço</w:t>
      </w:r>
    </w:p>
    <w:p w:rsidR="00EF571E" w:rsidRDefault="00EF571E" w:rsidP="00EF571E">
      <w:pPr>
        <w:widowControl/>
        <w:autoSpaceDE w:val="0"/>
        <w:autoSpaceDN w:val="0"/>
        <w:adjustRightInd w:val="0"/>
        <w:jc w:val="both"/>
        <w:rPr>
          <w:rFonts w:ascii="Euphemia" w:hAnsi="Euphemia"/>
          <w:sz w:val="22"/>
          <w:szCs w:val="22"/>
        </w:rPr>
      </w:pPr>
    </w:p>
    <w:p w:rsidR="000847AA" w:rsidRDefault="003B3845" w:rsidP="00EF571E">
      <w:pPr>
        <w:widowControl/>
        <w:autoSpaceDE w:val="0"/>
        <w:autoSpaceDN w:val="0"/>
        <w:adjustRightInd w:val="0"/>
        <w:jc w:val="both"/>
        <w:rPr>
          <w:rFonts w:ascii="Euphemia" w:hAnsi="Euphemia"/>
          <w:sz w:val="22"/>
          <w:szCs w:val="22"/>
        </w:rPr>
      </w:pPr>
      <w:r>
        <w:rPr>
          <w:noProof/>
        </w:rPr>
        <w:drawing>
          <wp:inline distT="0" distB="0" distL="0" distR="0" wp14:anchorId="5A1B536F" wp14:editId="0F08EA64">
            <wp:extent cx="5257800" cy="719137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7800" cy="7191375"/>
                    </a:xfrm>
                    <a:prstGeom prst="rect">
                      <a:avLst/>
                    </a:prstGeom>
                  </pic:spPr>
                </pic:pic>
              </a:graphicData>
            </a:graphic>
          </wp:inline>
        </w:drawing>
      </w:r>
    </w:p>
    <w:p w:rsidR="007C7846" w:rsidRPr="00921839" w:rsidRDefault="003B3845" w:rsidP="00EF571E">
      <w:pPr>
        <w:widowControl/>
        <w:autoSpaceDE w:val="0"/>
        <w:autoSpaceDN w:val="0"/>
        <w:adjustRightInd w:val="0"/>
        <w:rPr>
          <w:rFonts w:ascii="Euphemia" w:hAnsi="Euphemia"/>
          <w:sz w:val="22"/>
          <w:szCs w:val="22"/>
        </w:rPr>
      </w:pPr>
      <w:r>
        <w:rPr>
          <w:noProof/>
        </w:rPr>
        <w:lastRenderedPageBreak/>
        <w:drawing>
          <wp:inline distT="0" distB="0" distL="0" distR="0" wp14:anchorId="6EBEC84F" wp14:editId="608EA1A9">
            <wp:extent cx="5040630" cy="4162425"/>
            <wp:effectExtent l="0" t="0" r="762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630" cy="4162425"/>
                    </a:xfrm>
                    <a:prstGeom prst="rect">
                      <a:avLst/>
                    </a:prstGeom>
                  </pic:spPr>
                </pic:pic>
              </a:graphicData>
            </a:graphic>
          </wp:inline>
        </w:drawing>
      </w:r>
    </w:p>
    <w:p w:rsidR="00EF571E" w:rsidRDefault="00EF571E" w:rsidP="00EF571E">
      <w:pPr>
        <w:pStyle w:val="PargrafodaLista"/>
        <w:widowControl/>
        <w:autoSpaceDE w:val="0"/>
        <w:autoSpaceDN w:val="0"/>
        <w:adjustRightInd w:val="0"/>
        <w:ind w:left="0"/>
        <w:rPr>
          <w:rFonts w:ascii="Euphemia" w:hAnsi="Euphemia"/>
          <w:b/>
          <w:sz w:val="22"/>
          <w:szCs w:val="22"/>
        </w:rPr>
      </w:pPr>
    </w:p>
    <w:p w:rsidR="000847AA" w:rsidRPr="00705862" w:rsidRDefault="000847AA" w:rsidP="000847AA">
      <w:pPr>
        <w:pStyle w:val="PargrafodaLista"/>
        <w:ind w:left="0"/>
        <w:jc w:val="both"/>
        <w:rPr>
          <w:rFonts w:ascii="Century Gothic" w:hAnsi="Century Gothic"/>
          <w:b/>
        </w:rPr>
      </w:pPr>
      <w:r>
        <w:rPr>
          <w:rFonts w:ascii="Century Gothic" w:hAnsi="Century Gothic"/>
          <w:b/>
        </w:rPr>
        <w:t>3</w:t>
      </w:r>
      <w:r w:rsidR="006E4BBD">
        <w:rPr>
          <w:rFonts w:ascii="Century Gothic" w:hAnsi="Century Gothic"/>
          <w:b/>
        </w:rPr>
        <w:t>.2</w:t>
      </w:r>
      <w:r>
        <w:rPr>
          <w:rFonts w:ascii="Century Gothic" w:hAnsi="Century Gothic"/>
          <w:b/>
        </w:rPr>
        <w:t xml:space="preserve"> – </w:t>
      </w:r>
      <w:r w:rsidR="006E4BBD">
        <w:rPr>
          <w:rFonts w:ascii="Century Gothic" w:hAnsi="Century Gothic"/>
          <w:b/>
        </w:rPr>
        <w:t>Demonstração dos resultados por natureza</w:t>
      </w:r>
    </w:p>
    <w:p w:rsidR="00801A87" w:rsidRDefault="00E93D32" w:rsidP="00EF571E">
      <w:pPr>
        <w:pStyle w:val="PargrafodaLista"/>
        <w:widowControl/>
        <w:autoSpaceDE w:val="0"/>
        <w:autoSpaceDN w:val="0"/>
        <w:adjustRightInd w:val="0"/>
        <w:ind w:left="0"/>
        <w:rPr>
          <w:rFonts w:ascii="Euphemia" w:hAnsi="Euphemia"/>
          <w:b/>
          <w:sz w:val="22"/>
          <w:szCs w:val="22"/>
        </w:rPr>
      </w:pPr>
      <w:r>
        <w:rPr>
          <w:noProof/>
        </w:rPr>
        <w:drawing>
          <wp:inline distT="0" distB="0" distL="0" distR="0" wp14:anchorId="473A17B7" wp14:editId="554616D4">
            <wp:extent cx="5040630" cy="3419475"/>
            <wp:effectExtent l="0" t="0" r="7620"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630" cy="3419475"/>
                    </a:xfrm>
                    <a:prstGeom prst="rect">
                      <a:avLst/>
                    </a:prstGeom>
                  </pic:spPr>
                </pic:pic>
              </a:graphicData>
            </a:graphic>
          </wp:inline>
        </w:drawing>
      </w:r>
    </w:p>
    <w:p w:rsidR="006E4BBD" w:rsidRPr="00705862" w:rsidRDefault="006E4BBD" w:rsidP="006E4BBD">
      <w:pPr>
        <w:pStyle w:val="PargrafodaLista"/>
        <w:ind w:left="0"/>
        <w:jc w:val="both"/>
        <w:rPr>
          <w:rFonts w:ascii="Century Gothic" w:hAnsi="Century Gothic"/>
          <w:b/>
        </w:rPr>
      </w:pPr>
      <w:r>
        <w:rPr>
          <w:rFonts w:ascii="Century Gothic" w:hAnsi="Century Gothic"/>
          <w:b/>
        </w:rPr>
        <w:lastRenderedPageBreak/>
        <w:t>3.3 – Demonstração das alterações ao património líquido</w:t>
      </w:r>
    </w:p>
    <w:p w:rsidR="00801A87" w:rsidRDefault="00801A87" w:rsidP="00EF571E">
      <w:pPr>
        <w:pStyle w:val="PargrafodaLista"/>
        <w:widowControl/>
        <w:autoSpaceDE w:val="0"/>
        <w:autoSpaceDN w:val="0"/>
        <w:adjustRightInd w:val="0"/>
        <w:ind w:left="0"/>
        <w:rPr>
          <w:rFonts w:ascii="Euphemia" w:hAnsi="Euphemia"/>
          <w:b/>
          <w:sz w:val="22"/>
          <w:szCs w:val="22"/>
        </w:rPr>
      </w:pPr>
    </w:p>
    <w:p w:rsidR="00C444E2" w:rsidRDefault="00F40165" w:rsidP="00EF571E">
      <w:pPr>
        <w:pStyle w:val="PargrafodaLista"/>
        <w:widowControl/>
        <w:autoSpaceDE w:val="0"/>
        <w:autoSpaceDN w:val="0"/>
        <w:adjustRightInd w:val="0"/>
        <w:ind w:left="0"/>
        <w:rPr>
          <w:rFonts w:ascii="Euphemia" w:hAnsi="Euphemia"/>
          <w:b/>
          <w:sz w:val="22"/>
          <w:szCs w:val="22"/>
        </w:rPr>
      </w:pPr>
      <w:r>
        <w:rPr>
          <w:noProof/>
        </w:rPr>
        <w:drawing>
          <wp:inline distT="0" distB="0" distL="0" distR="0" wp14:anchorId="4E134711" wp14:editId="7C6AD733">
            <wp:extent cx="5040630" cy="2030730"/>
            <wp:effectExtent l="0" t="0" r="7620" b="762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630" cy="2030730"/>
                    </a:xfrm>
                    <a:prstGeom prst="rect">
                      <a:avLst/>
                    </a:prstGeom>
                  </pic:spPr>
                </pic:pic>
              </a:graphicData>
            </a:graphic>
          </wp:inline>
        </w:drawing>
      </w:r>
    </w:p>
    <w:p w:rsidR="00EF571E" w:rsidRPr="00474CF8" w:rsidRDefault="00EF571E" w:rsidP="00474CF8">
      <w:pPr>
        <w:pStyle w:val="Corpodetexto2"/>
        <w:tabs>
          <w:tab w:val="clear" w:pos="1134"/>
          <w:tab w:val="left" w:pos="426"/>
        </w:tabs>
        <w:spacing w:line="240" w:lineRule="auto"/>
        <w:ind w:left="1080"/>
        <w:rPr>
          <w:rFonts w:ascii="Century Gothic" w:hAnsi="Century Gothic"/>
          <w:b/>
          <w:caps/>
          <w:sz w:val="18"/>
          <w:szCs w:val="18"/>
        </w:rPr>
      </w:pPr>
    </w:p>
    <w:p w:rsidR="00B64603" w:rsidRPr="00705862" w:rsidRDefault="00B64603" w:rsidP="00B64603">
      <w:pPr>
        <w:pStyle w:val="PargrafodaLista"/>
        <w:ind w:left="0"/>
        <w:jc w:val="both"/>
        <w:rPr>
          <w:rFonts w:ascii="Century Gothic" w:hAnsi="Century Gothic"/>
          <w:b/>
        </w:rPr>
      </w:pPr>
      <w:r>
        <w:rPr>
          <w:rFonts w:ascii="Century Gothic" w:hAnsi="Century Gothic"/>
          <w:b/>
        </w:rPr>
        <w:t>3.4 – Demonstração de fluxos de caixa</w:t>
      </w:r>
    </w:p>
    <w:p w:rsidR="00493A85" w:rsidRDefault="00771AEE" w:rsidP="00B64603">
      <w:pPr>
        <w:widowControl/>
        <w:jc w:val="both"/>
        <w:rPr>
          <w:rFonts w:ascii="Century Gothic" w:hAnsi="Century Gothic"/>
        </w:rPr>
      </w:pPr>
      <w:r>
        <w:rPr>
          <w:rFonts w:ascii="Century Gothic" w:hAnsi="Century Gothic"/>
        </w:rPr>
        <w:t xml:space="preserve"> </w:t>
      </w:r>
    </w:p>
    <w:p w:rsidR="00493A85" w:rsidRDefault="00F40165" w:rsidP="0033691D">
      <w:pPr>
        <w:widowControl/>
        <w:jc w:val="both"/>
        <w:rPr>
          <w:rFonts w:ascii="Century Gothic" w:hAnsi="Century Gothic"/>
        </w:rPr>
      </w:pPr>
      <w:r>
        <w:rPr>
          <w:noProof/>
        </w:rPr>
        <w:drawing>
          <wp:inline distT="0" distB="0" distL="0" distR="0" wp14:anchorId="299F3004" wp14:editId="1CA58F5E">
            <wp:extent cx="5072933" cy="508825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9246" cy="5104617"/>
                    </a:xfrm>
                    <a:prstGeom prst="rect">
                      <a:avLst/>
                    </a:prstGeom>
                  </pic:spPr>
                </pic:pic>
              </a:graphicData>
            </a:graphic>
          </wp:inline>
        </w:drawing>
      </w:r>
    </w:p>
    <w:p w:rsidR="00D42683" w:rsidRDefault="00F40165" w:rsidP="00770481">
      <w:pPr>
        <w:widowControl/>
        <w:autoSpaceDE w:val="0"/>
        <w:autoSpaceDN w:val="0"/>
        <w:adjustRightInd w:val="0"/>
        <w:jc w:val="both"/>
        <w:rPr>
          <w:rFonts w:ascii="Century Gothic" w:hAnsi="Century Gothic"/>
          <w:b/>
        </w:rPr>
      </w:pPr>
      <w:r>
        <w:rPr>
          <w:noProof/>
        </w:rPr>
        <w:lastRenderedPageBreak/>
        <w:drawing>
          <wp:inline distT="0" distB="0" distL="0" distR="0" wp14:anchorId="7CA6B479" wp14:editId="617B89DB">
            <wp:extent cx="5040630" cy="5483860"/>
            <wp:effectExtent l="0" t="0" r="7620" b="254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630" cy="5483860"/>
                    </a:xfrm>
                    <a:prstGeom prst="rect">
                      <a:avLst/>
                    </a:prstGeom>
                  </pic:spPr>
                </pic:pic>
              </a:graphicData>
            </a:graphic>
          </wp:inline>
        </w:drawing>
      </w:r>
    </w:p>
    <w:p w:rsidR="00AF31DD" w:rsidRDefault="00DD26A7" w:rsidP="00DD26A7">
      <w:pPr>
        <w:pStyle w:val="Cabealho"/>
        <w:tabs>
          <w:tab w:val="clear" w:pos="4252"/>
          <w:tab w:val="clear" w:pos="8504"/>
          <w:tab w:val="left" w:pos="1065"/>
        </w:tabs>
        <w:jc w:val="both"/>
        <w:rPr>
          <w:rFonts w:ascii="Century Gothic" w:hAnsi="Century Gothic"/>
          <w:b/>
          <w:caps/>
        </w:rPr>
      </w:pPr>
      <w:r>
        <w:rPr>
          <w:rFonts w:ascii="Century Gothic" w:hAnsi="Century Gothic"/>
          <w:b/>
          <w:color w:val="000000"/>
        </w:rPr>
        <w:tab/>
      </w:r>
    </w:p>
    <w:p w:rsidR="00C25DE3" w:rsidRDefault="00C25DE3" w:rsidP="0033691D">
      <w:pPr>
        <w:widowControl/>
        <w:autoSpaceDE w:val="0"/>
        <w:autoSpaceDN w:val="0"/>
        <w:adjustRightInd w:val="0"/>
        <w:jc w:val="both"/>
        <w:rPr>
          <w:rFonts w:ascii="Century Gothic" w:hAnsi="Century Gothic"/>
        </w:rPr>
      </w:pPr>
    </w:p>
    <w:p w:rsidR="00AF31DD" w:rsidRPr="0058005D" w:rsidRDefault="0058005D" w:rsidP="0033691D">
      <w:pPr>
        <w:widowControl/>
        <w:autoSpaceDE w:val="0"/>
        <w:autoSpaceDN w:val="0"/>
        <w:adjustRightInd w:val="0"/>
        <w:jc w:val="both"/>
        <w:rPr>
          <w:rFonts w:ascii="Century Gothic" w:hAnsi="Century Gothic"/>
          <w:b/>
        </w:rPr>
      </w:pPr>
      <w:r>
        <w:rPr>
          <w:rFonts w:ascii="Century Gothic" w:hAnsi="Century Gothic"/>
          <w:b/>
        </w:rPr>
        <w:t>4 – Anexos às demonstrações financeiras</w:t>
      </w:r>
    </w:p>
    <w:p w:rsidR="00AF31DD" w:rsidRDefault="00AF31DD" w:rsidP="0033691D">
      <w:pPr>
        <w:widowControl/>
        <w:autoSpaceDE w:val="0"/>
        <w:autoSpaceDN w:val="0"/>
        <w:adjustRightInd w:val="0"/>
        <w:jc w:val="both"/>
        <w:rPr>
          <w:rFonts w:ascii="Century Gothic" w:hAnsi="Century Gothic"/>
        </w:rPr>
      </w:pPr>
    </w:p>
    <w:p w:rsidR="00E010AD" w:rsidRDefault="00E010AD" w:rsidP="0033691D">
      <w:pPr>
        <w:widowControl/>
        <w:autoSpaceDE w:val="0"/>
        <w:autoSpaceDN w:val="0"/>
        <w:adjustRightInd w:val="0"/>
        <w:jc w:val="both"/>
        <w:rPr>
          <w:rFonts w:ascii="Century Gothic" w:hAnsi="Century Gothic"/>
        </w:rPr>
      </w:pPr>
    </w:p>
    <w:p w:rsidR="00853E06" w:rsidRDefault="00916B97" w:rsidP="00EF571E">
      <w:pPr>
        <w:pStyle w:val="Cabealho"/>
        <w:jc w:val="both"/>
        <w:rPr>
          <w:rFonts w:ascii="Century Gothic" w:hAnsi="Century Gothic"/>
          <w:b/>
        </w:rPr>
      </w:pPr>
      <w:r>
        <w:rPr>
          <w:rFonts w:ascii="Century Gothic" w:hAnsi="Century Gothic"/>
          <w:b/>
        </w:rPr>
        <w:t>4.1</w:t>
      </w:r>
      <w:r w:rsidR="00853E06" w:rsidRPr="00853E06">
        <w:rPr>
          <w:rFonts w:ascii="Century Gothic" w:hAnsi="Century Gothic"/>
          <w:b/>
        </w:rPr>
        <w:t xml:space="preserve"> </w:t>
      </w:r>
      <w:r w:rsidR="00853E06">
        <w:rPr>
          <w:rFonts w:ascii="Century Gothic" w:hAnsi="Century Gothic"/>
          <w:b/>
        </w:rPr>
        <w:t>–</w:t>
      </w:r>
      <w:r w:rsidR="00853E06" w:rsidRPr="00853E06">
        <w:rPr>
          <w:rFonts w:ascii="Century Gothic" w:hAnsi="Century Gothic"/>
          <w:b/>
        </w:rPr>
        <w:t xml:space="preserve"> Iden</w:t>
      </w:r>
      <w:r w:rsidR="00853E06">
        <w:rPr>
          <w:rFonts w:ascii="Century Gothic" w:hAnsi="Century Gothic"/>
          <w:b/>
        </w:rPr>
        <w:t>tificação da entidade, período de relato e referencial contabilístico</w:t>
      </w:r>
    </w:p>
    <w:p w:rsidR="00853E06" w:rsidRDefault="00853E06" w:rsidP="00EF571E">
      <w:pPr>
        <w:pStyle w:val="Cabealho"/>
        <w:jc w:val="both"/>
        <w:rPr>
          <w:rFonts w:ascii="Century Gothic" w:hAnsi="Century Gothic"/>
          <w:b/>
        </w:rPr>
      </w:pPr>
    </w:p>
    <w:p w:rsidR="00853E06" w:rsidRDefault="00853E06" w:rsidP="00853E06">
      <w:pPr>
        <w:widowControl/>
        <w:jc w:val="both"/>
        <w:rPr>
          <w:rFonts w:ascii="Century Gothic" w:hAnsi="Century Gothic"/>
        </w:rPr>
      </w:pPr>
      <w:r>
        <w:rPr>
          <w:rFonts w:ascii="Century Gothic" w:hAnsi="Century Gothic"/>
        </w:rPr>
        <w:t>Entidade: Fundo Escolar da Escola Profissional de Capelas (</w:t>
      </w:r>
      <w:r w:rsidR="003C5001">
        <w:rPr>
          <w:rFonts w:ascii="Century Gothic" w:hAnsi="Century Gothic"/>
        </w:rPr>
        <w:t xml:space="preserve">FE </w:t>
      </w:r>
      <w:r>
        <w:rPr>
          <w:rFonts w:ascii="Century Gothic" w:hAnsi="Century Gothic"/>
        </w:rPr>
        <w:t>EPC)</w:t>
      </w:r>
    </w:p>
    <w:p w:rsidR="00853E06" w:rsidRDefault="003C5001" w:rsidP="00853E06">
      <w:pPr>
        <w:widowControl/>
        <w:jc w:val="both"/>
        <w:rPr>
          <w:rFonts w:ascii="Century Gothic" w:hAnsi="Century Gothic"/>
        </w:rPr>
      </w:pPr>
      <w:r>
        <w:rPr>
          <w:rFonts w:ascii="Century Gothic" w:hAnsi="Century Gothic"/>
        </w:rPr>
        <w:t xml:space="preserve">Morada: </w:t>
      </w:r>
      <w:r w:rsidR="00853E06">
        <w:rPr>
          <w:rFonts w:ascii="Century Gothic" w:hAnsi="Century Gothic"/>
        </w:rPr>
        <w:t>Quinta do Navio</w:t>
      </w:r>
      <w:r>
        <w:rPr>
          <w:rFonts w:ascii="Century Gothic" w:hAnsi="Century Gothic"/>
        </w:rPr>
        <w:t>, 9545-140 Capelas</w:t>
      </w:r>
    </w:p>
    <w:p w:rsidR="003C5001" w:rsidRDefault="003C5001" w:rsidP="00853E06">
      <w:pPr>
        <w:widowControl/>
        <w:jc w:val="both"/>
        <w:rPr>
          <w:rFonts w:ascii="Century Gothic" w:hAnsi="Century Gothic"/>
        </w:rPr>
      </w:pPr>
    </w:p>
    <w:p w:rsidR="00853E06" w:rsidRDefault="00853E06" w:rsidP="00853E06">
      <w:pPr>
        <w:widowControl/>
        <w:jc w:val="both"/>
        <w:rPr>
          <w:rFonts w:ascii="Century Gothic" w:hAnsi="Century Gothic"/>
        </w:rPr>
      </w:pPr>
      <w:r>
        <w:rPr>
          <w:rFonts w:ascii="Century Gothic" w:hAnsi="Century Gothic"/>
        </w:rPr>
        <w:t>Número de identificação fiscal</w:t>
      </w:r>
      <w:r w:rsidR="003C5001">
        <w:rPr>
          <w:rFonts w:ascii="Century Gothic" w:hAnsi="Century Gothic"/>
        </w:rPr>
        <w:t xml:space="preserve"> da EPC</w:t>
      </w:r>
      <w:r>
        <w:rPr>
          <w:rFonts w:ascii="Century Gothic" w:hAnsi="Century Gothic"/>
        </w:rPr>
        <w:t>: 672 002</w:t>
      </w:r>
      <w:r w:rsidR="00BD0953">
        <w:rPr>
          <w:rFonts w:ascii="Century Gothic" w:hAnsi="Century Gothic"/>
        </w:rPr>
        <w:t> </w:t>
      </w:r>
      <w:r>
        <w:rPr>
          <w:rFonts w:ascii="Century Gothic" w:hAnsi="Century Gothic"/>
        </w:rPr>
        <w:t>060</w:t>
      </w:r>
    </w:p>
    <w:p w:rsidR="00853E06" w:rsidRDefault="00853E06" w:rsidP="00853E06">
      <w:pPr>
        <w:widowControl/>
        <w:jc w:val="both"/>
        <w:rPr>
          <w:rFonts w:ascii="Century Gothic" w:hAnsi="Century Gothic"/>
        </w:rPr>
      </w:pPr>
      <w:r>
        <w:rPr>
          <w:rFonts w:ascii="Century Gothic" w:hAnsi="Century Gothic"/>
        </w:rPr>
        <w:t>Telefone: 296 298 220</w:t>
      </w:r>
    </w:p>
    <w:p w:rsidR="00916B97" w:rsidRPr="00672103" w:rsidRDefault="00853E06" w:rsidP="00916B97">
      <w:pPr>
        <w:widowControl/>
        <w:jc w:val="both"/>
        <w:rPr>
          <w:rFonts w:ascii="Century Gothic" w:hAnsi="Century Gothic"/>
        </w:rPr>
      </w:pPr>
      <w:r>
        <w:rPr>
          <w:rFonts w:ascii="Century Gothic" w:hAnsi="Century Gothic"/>
        </w:rPr>
        <w:t>Email</w:t>
      </w:r>
      <w:r w:rsidR="003C5001">
        <w:rPr>
          <w:rFonts w:ascii="Century Gothic" w:hAnsi="Century Gothic"/>
        </w:rPr>
        <w:t xml:space="preserve"> da EPC</w:t>
      </w:r>
      <w:r>
        <w:rPr>
          <w:rFonts w:ascii="Century Gothic" w:hAnsi="Century Gothic"/>
        </w:rPr>
        <w:t xml:space="preserve">: </w:t>
      </w:r>
      <w:hyperlink r:id="rId18" w:history="1">
        <w:r w:rsidRPr="00756608">
          <w:rPr>
            <w:rStyle w:val="Hiperligao"/>
            <w:rFonts w:ascii="Century Gothic" w:hAnsi="Century Gothic"/>
          </w:rPr>
          <w:t>esc.prof.capelas@azores.gov.pt</w:t>
        </w:r>
      </w:hyperlink>
      <w:r w:rsidR="00916B97">
        <w:rPr>
          <w:rStyle w:val="Hiperligao"/>
          <w:rFonts w:ascii="Century Gothic" w:hAnsi="Century Gothic"/>
          <w:u w:val="none"/>
        </w:rPr>
        <w:t xml:space="preserve"> </w:t>
      </w:r>
      <w:r w:rsidR="00916B97" w:rsidRPr="00672103">
        <w:rPr>
          <w:rStyle w:val="Hiperligao"/>
          <w:rFonts w:ascii="Century Gothic" w:hAnsi="Century Gothic"/>
          <w:color w:val="auto"/>
          <w:u w:val="none"/>
        </w:rPr>
        <w:t>(desativado</w:t>
      </w:r>
      <w:r w:rsidR="00916B97">
        <w:rPr>
          <w:rStyle w:val="Hiperligao"/>
          <w:rFonts w:ascii="Century Gothic" w:hAnsi="Century Gothic"/>
          <w:color w:val="auto"/>
          <w:u w:val="none"/>
        </w:rPr>
        <w:t>, atualmente é cqa@azores.gov.pt</w:t>
      </w:r>
      <w:r w:rsidR="00916B97" w:rsidRPr="00672103">
        <w:rPr>
          <w:rStyle w:val="Hiperligao"/>
          <w:rFonts w:ascii="Century Gothic" w:hAnsi="Century Gothic"/>
          <w:color w:val="auto"/>
          <w:u w:val="none"/>
        </w:rPr>
        <w:t>)</w:t>
      </w:r>
    </w:p>
    <w:p w:rsidR="00853E06" w:rsidRDefault="00853E06" w:rsidP="00853E06">
      <w:pPr>
        <w:widowControl/>
        <w:jc w:val="both"/>
        <w:rPr>
          <w:rFonts w:ascii="Century Gothic" w:hAnsi="Century Gothic"/>
        </w:rPr>
      </w:pPr>
    </w:p>
    <w:p w:rsidR="00853E06" w:rsidRDefault="00853E06" w:rsidP="00853E06">
      <w:pPr>
        <w:widowControl/>
        <w:jc w:val="both"/>
        <w:rPr>
          <w:rFonts w:ascii="Century Gothic" w:hAnsi="Century Gothic"/>
        </w:rPr>
      </w:pPr>
    </w:p>
    <w:p w:rsidR="00853E06" w:rsidRDefault="00853E06" w:rsidP="00853E06">
      <w:pPr>
        <w:widowControl/>
        <w:jc w:val="both"/>
        <w:rPr>
          <w:rFonts w:ascii="Century Gothic" w:hAnsi="Century Gothic"/>
        </w:rPr>
      </w:pPr>
      <w:r>
        <w:rPr>
          <w:rFonts w:ascii="Century Gothic" w:hAnsi="Century Gothic"/>
        </w:rPr>
        <w:t>Identificação em GERFIP: A550 FE EP de Capelas</w:t>
      </w:r>
    </w:p>
    <w:p w:rsidR="00853E06" w:rsidRDefault="00853E06" w:rsidP="00EF571E">
      <w:pPr>
        <w:pStyle w:val="Cabealho"/>
        <w:jc w:val="both"/>
        <w:rPr>
          <w:rFonts w:ascii="Century Gothic" w:hAnsi="Century Gothic"/>
        </w:rPr>
      </w:pPr>
    </w:p>
    <w:p w:rsidR="003C5001" w:rsidRDefault="003C5001" w:rsidP="00EF571E">
      <w:pPr>
        <w:pStyle w:val="Cabealho"/>
        <w:jc w:val="both"/>
        <w:rPr>
          <w:rFonts w:ascii="Century Gothic" w:hAnsi="Century Gothic"/>
        </w:rPr>
      </w:pPr>
      <w:r>
        <w:rPr>
          <w:rFonts w:ascii="Century Gothic" w:hAnsi="Century Gothic"/>
        </w:rPr>
        <w:t>Tutela: Direção Regional d</w:t>
      </w:r>
      <w:r w:rsidR="00916B97">
        <w:rPr>
          <w:rFonts w:ascii="Century Gothic" w:hAnsi="Century Gothic"/>
        </w:rPr>
        <w:t>a Educação e</w:t>
      </w:r>
      <w:r>
        <w:rPr>
          <w:rFonts w:ascii="Century Gothic" w:hAnsi="Century Gothic"/>
        </w:rPr>
        <w:t xml:space="preserve"> Administração Educativa</w:t>
      </w:r>
    </w:p>
    <w:p w:rsidR="003C5001" w:rsidRDefault="003C5001" w:rsidP="00EF571E">
      <w:pPr>
        <w:pStyle w:val="Cabealho"/>
        <w:jc w:val="both"/>
        <w:rPr>
          <w:rFonts w:ascii="Century Gothic" w:hAnsi="Century Gothic"/>
        </w:rPr>
      </w:pPr>
    </w:p>
    <w:p w:rsidR="00BD0953" w:rsidRDefault="00BD0953" w:rsidP="00BD0953">
      <w:pPr>
        <w:jc w:val="both"/>
        <w:rPr>
          <w:rFonts w:ascii="Century Gothic" w:hAnsi="Century Gothic"/>
        </w:rPr>
      </w:pPr>
      <w:r>
        <w:rPr>
          <w:rFonts w:ascii="Century Gothic" w:hAnsi="Century Gothic"/>
        </w:rPr>
        <w:t>Como já referimos no ponto 2.4 deste relatório, a</w:t>
      </w:r>
      <w:r w:rsidRPr="00EB244D">
        <w:rPr>
          <w:rFonts w:ascii="Century Gothic" w:hAnsi="Century Gothic"/>
        </w:rPr>
        <w:t xml:space="preserve"> EPC dedica-se exclusi</w:t>
      </w:r>
      <w:r>
        <w:rPr>
          <w:rFonts w:ascii="Century Gothic" w:hAnsi="Century Gothic"/>
        </w:rPr>
        <w:t>vamente à formação profissional.</w:t>
      </w:r>
      <w:r w:rsidRPr="00EB244D">
        <w:rPr>
          <w:rFonts w:ascii="Century Gothic" w:hAnsi="Century Gothic"/>
        </w:rPr>
        <w:t xml:space="preserve"> </w:t>
      </w:r>
      <w:r>
        <w:rPr>
          <w:rFonts w:ascii="Century Gothic" w:hAnsi="Century Gothic"/>
        </w:rPr>
        <w:t>Promove</w:t>
      </w:r>
      <w:r w:rsidRPr="00EB244D">
        <w:rPr>
          <w:rFonts w:ascii="Century Gothic" w:hAnsi="Century Gothic"/>
        </w:rPr>
        <w:t xml:space="preserve"> cursos </w:t>
      </w:r>
      <w:r>
        <w:rPr>
          <w:rFonts w:ascii="Century Gothic" w:hAnsi="Century Gothic"/>
        </w:rPr>
        <w:t>de tipologia</w:t>
      </w:r>
      <w:r w:rsidRPr="00EB244D">
        <w:rPr>
          <w:rFonts w:ascii="Century Gothic" w:hAnsi="Century Gothic"/>
        </w:rPr>
        <w:t xml:space="preserve"> Profissional e P</w:t>
      </w:r>
      <w:r>
        <w:rPr>
          <w:rFonts w:ascii="Century Gothic" w:hAnsi="Century Gothic"/>
        </w:rPr>
        <w:t>ROFIJ</w:t>
      </w:r>
      <w:r w:rsidRPr="00EB244D">
        <w:rPr>
          <w:rFonts w:ascii="Century Gothic" w:hAnsi="Century Gothic"/>
        </w:rPr>
        <w:t>, cujos destinatários são jovens inseridos no âmbito do sis</w:t>
      </w:r>
      <w:r>
        <w:rPr>
          <w:rFonts w:ascii="Century Gothic" w:hAnsi="Century Gothic"/>
        </w:rPr>
        <w:t>tema educativo ou formativo e ativos desempregados.</w:t>
      </w:r>
      <w:r w:rsidRPr="00EB244D">
        <w:rPr>
          <w:rFonts w:ascii="Century Gothic" w:hAnsi="Century Gothic"/>
        </w:rPr>
        <w:t xml:space="preserve"> </w:t>
      </w:r>
      <w:r>
        <w:rPr>
          <w:rFonts w:ascii="Century Gothic" w:hAnsi="Century Gothic"/>
        </w:rPr>
        <w:t xml:space="preserve">Recentemente, foram introduzidas novas tipologias de formação, nomeadamente o </w:t>
      </w:r>
      <w:proofErr w:type="spellStart"/>
      <w:r>
        <w:rPr>
          <w:rFonts w:ascii="Century Gothic" w:hAnsi="Century Gothic"/>
        </w:rPr>
        <w:t>FORM.Açores</w:t>
      </w:r>
      <w:proofErr w:type="spellEnd"/>
      <w:r>
        <w:rPr>
          <w:rFonts w:ascii="Century Gothic" w:hAnsi="Century Gothic"/>
        </w:rPr>
        <w:t>/Qualificação, que se destina a desempregados inscritos nos serviços públicos de emprego da Região Autónoma dos Açores, assim como o Dual Açores, cujo público alvo é ativos desempregados e inativos.</w:t>
      </w:r>
    </w:p>
    <w:p w:rsidR="00BD0953" w:rsidRDefault="00BD0953" w:rsidP="00EF571E">
      <w:pPr>
        <w:pStyle w:val="Cabealho"/>
        <w:jc w:val="both"/>
        <w:rPr>
          <w:rFonts w:ascii="Century Gothic" w:hAnsi="Century Gothic"/>
        </w:rPr>
      </w:pPr>
    </w:p>
    <w:p w:rsidR="00F52A93" w:rsidRDefault="00F52A93" w:rsidP="00EF571E">
      <w:pPr>
        <w:pStyle w:val="Cabealho"/>
        <w:jc w:val="both"/>
        <w:rPr>
          <w:rFonts w:ascii="Century Gothic" w:hAnsi="Century Gothic"/>
        </w:rPr>
      </w:pPr>
      <w:r>
        <w:rPr>
          <w:rFonts w:ascii="Century Gothic" w:hAnsi="Century Gothic"/>
        </w:rPr>
        <w:t xml:space="preserve">Composição do Conselho Administrativo e período de responsabilidade de cada um dos seus membros, </w:t>
      </w:r>
      <w:r w:rsidR="00916B97">
        <w:rPr>
          <w:rFonts w:ascii="Century Gothic" w:hAnsi="Century Gothic"/>
        </w:rPr>
        <w:t>relativamente à gerência de 2022</w:t>
      </w:r>
      <w:r>
        <w:rPr>
          <w:rFonts w:ascii="Century Gothic" w:hAnsi="Century Gothic"/>
        </w:rPr>
        <w:t>.</w:t>
      </w:r>
    </w:p>
    <w:p w:rsidR="00F52A93" w:rsidRDefault="00F52A93" w:rsidP="00EF571E">
      <w:pPr>
        <w:pStyle w:val="Cabealho"/>
        <w:jc w:val="both"/>
        <w:rPr>
          <w:rFonts w:ascii="Century Gothic" w:hAnsi="Century Gothic"/>
        </w:rPr>
      </w:pPr>
    </w:p>
    <w:tbl>
      <w:tblPr>
        <w:tblStyle w:val="Tabelacomgrelha"/>
        <w:tblW w:w="0" w:type="auto"/>
        <w:tblLook w:val="04A0" w:firstRow="1" w:lastRow="0" w:firstColumn="1" w:lastColumn="0" w:noHBand="0" w:noVBand="1"/>
      </w:tblPr>
      <w:tblGrid>
        <w:gridCol w:w="3397"/>
        <w:gridCol w:w="1888"/>
        <w:gridCol w:w="2643"/>
      </w:tblGrid>
      <w:tr w:rsidR="00F52A93" w:rsidTr="00F52A93">
        <w:trPr>
          <w:trHeight w:val="571"/>
        </w:trPr>
        <w:tc>
          <w:tcPr>
            <w:tcW w:w="3397" w:type="dxa"/>
            <w:vAlign w:val="center"/>
          </w:tcPr>
          <w:p w:rsidR="00F52A93" w:rsidRPr="00F52A93" w:rsidRDefault="00F52A93" w:rsidP="00F52A93">
            <w:pPr>
              <w:pStyle w:val="Cabealho"/>
              <w:jc w:val="center"/>
              <w:rPr>
                <w:rFonts w:ascii="Century Gothic" w:hAnsi="Century Gothic"/>
                <w:b/>
              </w:rPr>
            </w:pPr>
            <w:r w:rsidRPr="00F52A93">
              <w:rPr>
                <w:rFonts w:ascii="Century Gothic" w:hAnsi="Century Gothic"/>
                <w:b/>
              </w:rPr>
              <w:t>Identificação</w:t>
            </w:r>
          </w:p>
        </w:tc>
        <w:tc>
          <w:tcPr>
            <w:tcW w:w="1888" w:type="dxa"/>
            <w:vAlign w:val="center"/>
          </w:tcPr>
          <w:p w:rsidR="00F52A93" w:rsidRPr="00F52A93" w:rsidRDefault="00F52A93" w:rsidP="00F52A93">
            <w:pPr>
              <w:pStyle w:val="Cabealho"/>
              <w:jc w:val="center"/>
              <w:rPr>
                <w:rFonts w:ascii="Century Gothic" w:hAnsi="Century Gothic"/>
                <w:b/>
              </w:rPr>
            </w:pPr>
            <w:r w:rsidRPr="00F52A93">
              <w:rPr>
                <w:rFonts w:ascii="Century Gothic" w:hAnsi="Century Gothic"/>
                <w:b/>
              </w:rPr>
              <w:t>Cargo</w:t>
            </w:r>
          </w:p>
        </w:tc>
        <w:tc>
          <w:tcPr>
            <w:tcW w:w="2643" w:type="dxa"/>
            <w:vAlign w:val="center"/>
          </w:tcPr>
          <w:p w:rsidR="00F52A93" w:rsidRPr="00F52A93" w:rsidRDefault="00F52A93" w:rsidP="00F52A93">
            <w:pPr>
              <w:pStyle w:val="Cabealho"/>
              <w:jc w:val="center"/>
              <w:rPr>
                <w:rFonts w:ascii="Century Gothic" w:hAnsi="Century Gothic"/>
                <w:b/>
              </w:rPr>
            </w:pPr>
            <w:r w:rsidRPr="00F52A93">
              <w:rPr>
                <w:rFonts w:ascii="Century Gothic" w:hAnsi="Century Gothic"/>
                <w:b/>
              </w:rPr>
              <w:t>Período</w:t>
            </w:r>
          </w:p>
        </w:tc>
      </w:tr>
      <w:tr w:rsidR="00F52A93" w:rsidTr="00F52A93">
        <w:tc>
          <w:tcPr>
            <w:tcW w:w="3397" w:type="dxa"/>
            <w:vAlign w:val="center"/>
          </w:tcPr>
          <w:p w:rsidR="00F52A93" w:rsidRDefault="00916B97" w:rsidP="00EF571E">
            <w:pPr>
              <w:pStyle w:val="Cabealho"/>
              <w:jc w:val="both"/>
              <w:rPr>
                <w:rFonts w:ascii="Century Gothic" w:hAnsi="Century Gothic"/>
              </w:rPr>
            </w:pPr>
            <w:r>
              <w:rPr>
                <w:rFonts w:ascii="Century Gothic" w:hAnsi="Century Gothic"/>
              </w:rPr>
              <w:t>Acir Fernandes Meirelles</w:t>
            </w:r>
          </w:p>
        </w:tc>
        <w:tc>
          <w:tcPr>
            <w:tcW w:w="1888" w:type="dxa"/>
            <w:vAlign w:val="center"/>
          </w:tcPr>
          <w:p w:rsidR="00F52A93" w:rsidRDefault="00F52A93" w:rsidP="00EF571E">
            <w:pPr>
              <w:pStyle w:val="Cabealho"/>
              <w:jc w:val="both"/>
              <w:rPr>
                <w:rFonts w:ascii="Century Gothic" w:hAnsi="Century Gothic"/>
              </w:rPr>
            </w:pPr>
            <w:r>
              <w:rPr>
                <w:rFonts w:ascii="Century Gothic" w:hAnsi="Century Gothic"/>
              </w:rPr>
              <w:t>Diretor Executivo</w:t>
            </w:r>
          </w:p>
        </w:tc>
        <w:tc>
          <w:tcPr>
            <w:tcW w:w="2643" w:type="dxa"/>
            <w:vAlign w:val="center"/>
          </w:tcPr>
          <w:p w:rsidR="00F52A93" w:rsidRDefault="00916B97" w:rsidP="00F52A93">
            <w:pPr>
              <w:pStyle w:val="Cabealho"/>
              <w:jc w:val="center"/>
              <w:rPr>
                <w:rFonts w:ascii="Century Gothic" w:hAnsi="Century Gothic"/>
              </w:rPr>
            </w:pPr>
            <w:r>
              <w:rPr>
                <w:rFonts w:ascii="Century Gothic" w:hAnsi="Century Gothic"/>
              </w:rPr>
              <w:t>1 de janeiro a 31 de dezembro de 2022</w:t>
            </w:r>
          </w:p>
        </w:tc>
      </w:tr>
      <w:tr w:rsidR="00F52A93" w:rsidTr="00F52A93">
        <w:tc>
          <w:tcPr>
            <w:tcW w:w="3397" w:type="dxa"/>
            <w:vAlign w:val="center"/>
          </w:tcPr>
          <w:p w:rsidR="00F52A93" w:rsidRDefault="00916B97" w:rsidP="00F52A93">
            <w:pPr>
              <w:pStyle w:val="Cabealho"/>
              <w:jc w:val="both"/>
              <w:rPr>
                <w:rFonts w:ascii="Century Gothic" w:hAnsi="Century Gothic"/>
              </w:rPr>
            </w:pPr>
            <w:r>
              <w:rPr>
                <w:rFonts w:ascii="Century Gothic" w:hAnsi="Century Gothic"/>
              </w:rPr>
              <w:t>Noémia Lima Ventura</w:t>
            </w:r>
          </w:p>
        </w:tc>
        <w:tc>
          <w:tcPr>
            <w:tcW w:w="1888" w:type="dxa"/>
            <w:vAlign w:val="center"/>
          </w:tcPr>
          <w:p w:rsidR="00F52A93" w:rsidRDefault="00F52A93" w:rsidP="00F52A93">
            <w:pPr>
              <w:pStyle w:val="Cabealho"/>
              <w:jc w:val="center"/>
              <w:rPr>
                <w:rFonts w:ascii="Century Gothic" w:hAnsi="Century Gothic"/>
              </w:rPr>
            </w:pPr>
            <w:r>
              <w:rPr>
                <w:rFonts w:ascii="Century Gothic" w:hAnsi="Century Gothic"/>
              </w:rPr>
              <w:t>A</w:t>
            </w:r>
            <w:r w:rsidR="00916B97">
              <w:rPr>
                <w:rFonts w:ascii="Century Gothic" w:hAnsi="Century Gothic"/>
              </w:rPr>
              <w:t>djunta</w:t>
            </w:r>
            <w:r>
              <w:rPr>
                <w:rFonts w:ascii="Century Gothic" w:hAnsi="Century Gothic"/>
              </w:rPr>
              <w:t xml:space="preserve"> da Direção Executiva</w:t>
            </w:r>
          </w:p>
        </w:tc>
        <w:tc>
          <w:tcPr>
            <w:tcW w:w="2643" w:type="dxa"/>
            <w:vAlign w:val="center"/>
          </w:tcPr>
          <w:p w:rsidR="00F52A93" w:rsidRDefault="00FC33A2" w:rsidP="00FC33A2">
            <w:pPr>
              <w:pStyle w:val="Cabealho"/>
              <w:jc w:val="center"/>
              <w:rPr>
                <w:rFonts w:ascii="Century Gothic" w:hAnsi="Century Gothic"/>
              </w:rPr>
            </w:pPr>
            <w:r>
              <w:rPr>
                <w:rFonts w:ascii="Century Gothic" w:hAnsi="Century Gothic"/>
              </w:rPr>
              <w:t>1 de janeiro a 31 de dezembr</w:t>
            </w:r>
            <w:r w:rsidR="00F52A93">
              <w:rPr>
                <w:rFonts w:ascii="Century Gothic" w:hAnsi="Century Gothic"/>
              </w:rPr>
              <w:t>o de 202</w:t>
            </w:r>
            <w:r>
              <w:rPr>
                <w:rFonts w:ascii="Century Gothic" w:hAnsi="Century Gothic"/>
              </w:rPr>
              <w:t>2</w:t>
            </w:r>
          </w:p>
        </w:tc>
      </w:tr>
      <w:tr w:rsidR="00F52A93" w:rsidTr="00F52A93">
        <w:tc>
          <w:tcPr>
            <w:tcW w:w="3397" w:type="dxa"/>
            <w:vAlign w:val="center"/>
          </w:tcPr>
          <w:p w:rsidR="00F52A93" w:rsidRDefault="00F52A93" w:rsidP="00F52A93">
            <w:pPr>
              <w:pStyle w:val="Cabealho"/>
              <w:jc w:val="both"/>
              <w:rPr>
                <w:rFonts w:ascii="Century Gothic" w:hAnsi="Century Gothic"/>
              </w:rPr>
            </w:pPr>
            <w:r>
              <w:rPr>
                <w:rFonts w:ascii="Century Gothic" w:hAnsi="Century Gothic"/>
              </w:rPr>
              <w:t>Celina Botelho Viveiros</w:t>
            </w:r>
          </w:p>
        </w:tc>
        <w:tc>
          <w:tcPr>
            <w:tcW w:w="1888" w:type="dxa"/>
            <w:vAlign w:val="center"/>
          </w:tcPr>
          <w:p w:rsidR="00F52A93" w:rsidRDefault="00F52A93" w:rsidP="00F52A93">
            <w:pPr>
              <w:pStyle w:val="Cabealho"/>
              <w:jc w:val="center"/>
              <w:rPr>
                <w:rFonts w:ascii="Century Gothic" w:hAnsi="Century Gothic"/>
              </w:rPr>
            </w:pPr>
            <w:r>
              <w:rPr>
                <w:rFonts w:ascii="Century Gothic" w:hAnsi="Century Gothic"/>
              </w:rPr>
              <w:t>Coordenadora Técnica</w:t>
            </w:r>
          </w:p>
        </w:tc>
        <w:tc>
          <w:tcPr>
            <w:tcW w:w="2643" w:type="dxa"/>
            <w:vAlign w:val="center"/>
          </w:tcPr>
          <w:p w:rsidR="00F52A93" w:rsidRDefault="00F52A93" w:rsidP="00F52A93">
            <w:pPr>
              <w:pStyle w:val="Cabealho"/>
              <w:jc w:val="center"/>
              <w:rPr>
                <w:rFonts w:ascii="Century Gothic" w:hAnsi="Century Gothic"/>
              </w:rPr>
            </w:pPr>
            <w:r>
              <w:rPr>
                <w:rFonts w:ascii="Century Gothic" w:hAnsi="Century Gothic"/>
              </w:rPr>
              <w:t xml:space="preserve">1 de </w:t>
            </w:r>
            <w:r w:rsidR="00FC33A2">
              <w:rPr>
                <w:rFonts w:ascii="Century Gothic" w:hAnsi="Century Gothic"/>
              </w:rPr>
              <w:t>janeiro a 31 de dezembro de 2022</w:t>
            </w:r>
          </w:p>
        </w:tc>
      </w:tr>
    </w:tbl>
    <w:p w:rsidR="00F52A93" w:rsidRDefault="00F52A93" w:rsidP="00EF571E">
      <w:pPr>
        <w:pStyle w:val="Cabealho"/>
        <w:jc w:val="both"/>
        <w:rPr>
          <w:rFonts w:ascii="Century Gothic" w:hAnsi="Century Gothic"/>
        </w:rPr>
      </w:pPr>
    </w:p>
    <w:p w:rsidR="00F52A93" w:rsidRDefault="00CB6FEE" w:rsidP="00EF571E">
      <w:pPr>
        <w:pStyle w:val="Cabealho"/>
        <w:jc w:val="both"/>
        <w:rPr>
          <w:rFonts w:ascii="Century Gothic" w:hAnsi="Century Gothic"/>
        </w:rPr>
      </w:pPr>
      <w:r>
        <w:rPr>
          <w:rFonts w:ascii="Century Gothic" w:hAnsi="Century Gothic"/>
        </w:rPr>
        <w:t>Relativamente ao período de 1 de janeiro a 31 de dezembro de 202</w:t>
      </w:r>
      <w:r w:rsidR="00C92F85">
        <w:rPr>
          <w:rFonts w:ascii="Century Gothic" w:hAnsi="Century Gothic"/>
        </w:rPr>
        <w:t>2</w:t>
      </w:r>
      <w:r>
        <w:rPr>
          <w:rFonts w:ascii="Century Gothic" w:hAnsi="Century Gothic"/>
        </w:rPr>
        <w:t xml:space="preserve"> apresentamos uma única conta.</w:t>
      </w:r>
    </w:p>
    <w:p w:rsidR="00CB6FEE" w:rsidRDefault="00CB6FEE" w:rsidP="00EF571E">
      <w:pPr>
        <w:pStyle w:val="Cabealho"/>
        <w:jc w:val="both"/>
        <w:rPr>
          <w:rFonts w:ascii="Century Gothic" w:hAnsi="Century Gothic"/>
        </w:rPr>
      </w:pPr>
    </w:p>
    <w:p w:rsidR="00CB6FEE" w:rsidRDefault="00CB6FEE" w:rsidP="00EF571E">
      <w:pPr>
        <w:pStyle w:val="Cabealho"/>
        <w:jc w:val="both"/>
        <w:rPr>
          <w:rFonts w:ascii="Century Gothic" w:hAnsi="Century Gothic"/>
        </w:rPr>
      </w:pPr>
      <w:r>
        <w:rPr>
          <w:rFonts w:ascii="Century Gothic" w:hAnsi="Century Gothic"/>
        </w:rPr>
        <w:t>As demonstrações financeiras foram preparadas em harmonia com o Sistema de Normalização Contabilística</w:t>
      </w:r>
      <w:r w:rsidR="00343E54">
        <w:rPr>
          <w:rFonts w:ascii="Century Gothic" w:hAnsi="Century Gothic"/>
        </w:rPr>
        <w:t xml:space="preserve"> para as Administrações Públicas (SNC-AP)</w:t>
      </w:r>
      <w:r w:rsidR="00A5372F">
        <w:rPr>
          <w:rFonts w:ascii="Century Gothic" w:hAnsi="Century Gothic"/>
        </w:rPr>
        <w:t>.</w:t>
      </w:r>
    </w:p>
    <w:p w:rsidR="00BD0953" w:rsidRDefault="00BD0953" w:rsidP="00EF571E">
      <w:pPr>
        <w:pStyle w:val="Cabealho"/>
        <w:jc w:val="both"/>
        <w:rPr>
          <w:rFonts w:ascii="Century Gothic" w:hAnsi="Century Gothic"/>
        </w:rPr>
      </w:pPr>
    </w:p>
    <w:p w:rsidR="00A5372F" w:rsidRDefault="00A5372F" w:rsidP="00EF571E">
      <w:pPr>
        <w:pStyle w:val="Cabealho"/>
        <w:jc w:val="both"/>
        <w:rPr>
          <w:rFonts w:ascii="Century Gothic" w:hAnsi="Century Gothic"/>
        </w:rPr>
      </w:pPr>
    </w:p>
    <w:p w:rsidR="00A5372F" w:rsidRDefault="00C92F85" w:rsidP="00A5372F">
      <w:pPr>
        <w:pStyle w:val="Cabealho"/>
        <w:jc w:val="both"/>
        <w:rPr>
          <w:rFonts w:ascii="Century Gothic" w:hAnsi="Century Gothic"/>
          <w:b/>
        </w:rPr>
      </w:pPr>
      <w:r>
        <w:rPr>
          <w:rFonts w:ascii="Century Gothic" w:hAnsi="Century Gothic"/>
          <w:b/>
        </w:rPr>
        <w:t>4.2</w:t>
      </w:r>
      <w:r w:rsidR="00A5372F" w:rsidRPr="00853E06">
        <w:rPr>
          <w:rFonts w:ascii="Century Gothic" w:hAnsi="Century Gothic"/>
          <w:b/>
        </w:rPr>
        <w:t xml:space="preserve"> </w:t>
      </w:r>
      <w:r w:rsidR="00A5372F">
        <w:rPr>
          <w:rFonts w:ascii="Century Gothic" w:hAnsi="Century Gothic"/>
          <w:b/>
        </w:rPr>
        <w:t>–</w:t>
      </w:r>
      <w:r w:rsidR="00A5372F" w:rsidRPr="00853E06">
        <w:rPr>
          <w:rFonts w:ascii="Century Gothic" w:hAnsi="Century Gothic"/>
          <w:b/>
        </w:rPr>
        <w:t xml:space="preserve"> </w:t>
      </w:r>
      <w:r w:rsidR="00A5372F">
        <w:rPr>
          <w:rFonts w:ascii="Century Gothic" w:hAnsi="Century Gothic"/>
          <w:b/>
        </w:rPr>
        <w:t>Principais políticas contabilísticas, alterações nas estimativas contabilísticas e erros (Nota 2)</w:t>
      </w:r>
    </w:p>
    <w:p w:rsidR="00A5372F" w:rsidRDefault="00A5372F" w:rsidP="00EF571E">
      <w:pPr>
        <w:pStyle w:val="Cabealho"/>
        <w:jc w:val="both"/>
        <w:rPr>
          <w:rFonts w:ascii="Century Gothic" w:hAnsi="Century Gothic"/>
        </w:rPr>
      </w:pPr>
    </w:p>
    <w:p w:rsidR="00A5372F" w:rsidRDefault="00A5372F" w:rsidP="00EF571E">
      <w:pPr>
        <w:pStyle w:val="Cabealho"/>
        <w:jc w:val="both"/>
        <w:rPr>
          <w:rFonts w:ascii="Century Gothic" w:hAnsi="Century Gothic"/>
        </w:rPr>
      </w:pPr>
      <w:r>
        <w:rPr>
          <w:rFonts w:ascii="Century Gothic" w:hAnsi="Century Gothic"/>
        </w:rPr>
        <w:t>As demonstrações financeiras (DF) foram</w:t>
      </w:r>
      <w:r w:rsidR="00B12E10">
        <w:rPr>
          <w:rFonts w:ascii="Century Gothic" w:hAnsi="Century Gothic"/>
        </w:rPr>
        <w:t xml:space="preserve"> preparadas e</w:t>
      </w:r>
      <w:r>
        <w:rPr>
          <w:rFonts w:ascii="Century Gothic" w:hAnsi="Century Gothic"/>
        </w:rPr>
        <w:t xml:space="preserve"> apresentadas de acordo com a Norma Contabilística n.º 1 – Estrutura e conteúdo das demonstrações financeiras, utilizando como unidade monetária funcional o euro.</w:t>
      </w:r>
    </w:p>
    <w:p w:rsidR="00A5372F" w:rsidRDefault="00A5372F" w:rsidP="00EF571E">
      <w:pPr>
        <w:pStyle w:val="Cabealho"/>
        <w:jc w:val="both"/>
        <w:rPr>
          <w:rFonts w:ascii="Century Gothic" w:hAnsi="Century Gothic"/>
        </w:rPr>
      </w:pPr>
    </w:p>
    <w:p w:rsidR="00A5372F" w:rsidRDefault="00A5372F" w:rsidP="00EF571E">
      <w:pPr>
        <w:pStyle w:val="Cabealho"/>
        <w:jc w:val="both"/>
        <w:rPr>
          <w:rFonts w:ascii="Century Gothic" w:hAnsi="Century Gothic"/>
        </w:rPr>
      </w:pPr>
      <w:r>
        <w:rPr>
          <w:rFonts w:ascii="Century Gothic" w:hAnsi="Century Gothic"/>
        </w:rPr>
        <w:t>As DF apresentam de forma apropriada a posição financeira, o desempenho financeiro e os fluxos de caixa do Fundo Escolar da Escola Profissional de Capelas</w:t>
      </w:r>
      <w:r w:rsidR="0037377D">
        <w:rPr>
          <w:rFonts w:ascii="Century Gothic" w:hAnsi="Century Gothic"/>
        </w:rPr>
        <w:t>. Representam de forma fiel os efeitos das transações, outros acontecimentos e condições, de acordo com a definição e critérios de reconhecimento de ativos, passivos, rendimentos e gastos, conforme a estrutura conceptual das NCP.</w:t>
      </w:r>
    </w:p>
    <w:p w:rsidR="0037377D" w:rsidRDefault="0037377D" w:rsidP="00EF571E">
      <w:pPr>
        <w:pStyle w:val="Cabealho"/>
        <w:jc w:val="both"/>
        <w:rPr>
          <w:rFonts w:ascii="Century Gothic" w:hAnsi="Century Gothic"/>
        </w:rPr>
      </w:pPr>
    </w:p>
    <w:p w:rsidR="0037377D" w:rsidRDefault="0037377D" w:rsidP="00EF571E">
      <w:pPr>
        <w:pStyle w:val="Cabealho"/>
        <w:jc w:val="both"/>
        <w:rPr>
          <w:rFonts w:ascii="Century Gothic" w:hAnsi="Century Gothic"/>
        </w:rPr>
      </w:pPr>
      <w:r>
        <w:rPr>
          <w:rFonts w:ascii="Century Gothic" w:hAnsi="Century Gothic"/>
        </w:rPr>
        <w:t>A informação comparativa relativa ao período anterior foi divulgada para todas as quantias relatadas nas DF, respeitando o princípio da continuidade. As políticas contabilísticas foram adotadas de maneira consistente ao longo do tempo.</w:t>
      </w:r>
    </w:p>
    <w:p w:rsidR="0037377D" w:rsidRDefault="0037377D" w:rsidP="00EF571E">
      <w:pPr>
        <w:pStyle w:val="Cabealho"/>
        <w:jc w:val="both"/>
        <w:rPr>
          <w:rFonts w:ascii="Century Gothic" w:hAnsi="Century Gothic"/>
        </w:rPr>
      </w:pPr>
      <w:r>
        <w:rPr>
          <w:rFonts w:ascii="Century Gothic" w:hAnsi="Century Gothic"/>
        </w:rPr>
        <w:lastRenderedPageBreak/>
        <w:t>As DF estão consistentes de um período para o outro, quer a nível da apresentação, quer dos movimentos contabilísticos que lhes dão origem.</w:t>
      </w:r>
    </w:p>
    <w:p w:rsidR="0044406F" w:rsidRDefault="0044406F" w:rsidP="00EF571E">
      <w:pPr>
        <w:pStyle w:val="Cabealho"/>
        <w:jc w:val="both"/>
        <w:rPr>
          <w:rFonts w:ascii="Century Gothic" w:hAnsi="Century Gothic"/>
        </w:rPr>
      </w:pPr>
    </w:p>
    <w:p w:rsidR="0044406F" w:rsidRDefault="0044406F" w:rsidP="00EF571E">
      <w:pPr>
        <w:pStyle w:val="Cabealho"/>
        <w:jc w:val="both"/>
        <w:rPr>
          <w:rFonts w:ascii="Century Gothic" w:hAnsi="Century Gothic"/>
        </w:rPr>
      </w:pPr>
      <w:r>
        <w:rPr>
          <w:rFonts w:ascii="Century Gothic" w:hAnsi="Century Gothic"/>
        </w:rPr>
        <w:t>A relevância da informação é afetada pela sua natureza e materialidade. Cada classe material de itens semelhantes é apresentada separadamente nas demonstrações financeiras. Os itens de natureza ou função dissemelhante serão apresentados separadamente, a menos que sejam imateriais.</w:t>
      </w:r>
    </w:p>
    <w:p w:rsidR="0044406F" w:rsidRDefault="0044406F" w:rsidP="00EF571E">
      <w:pPr>
        <w:pStyle w:val="Cabealho"/>
        <w:jc w:val="both"/>
        <w:rPr>
          <w:rFonts w:ascii="Century Gothic" w:hAnsi="Century Gothic"/>
        </w:rPr>
      </w:pPr>
    </w:p>
    <w:p w:rsidR="0044406F" w:rsidRDefault="0044406F" w:rsidP="00EF571E">
      <w:pPr>
        <w:pStyle w:val="Cabealho"/>
        <w:jc w:val="both"/>
        <w:rPr>
          <w:rFonts w:ascii="Century Gothic" w:hAnsi="Century Gothic"/>
        </w:rPr>
      </w:pPr>
      <w:r>
        <w:rPr>
          <w:rFonts w:ascii="Century Gothic" w:hAnsi="Century Gothic"/>
        </w:rPr>
        <w:t>Com base na informação disponível e as expectativas futuras, esta Escola, através do seu Fundo Escolar, continuará a operar no futuro previsível, assumindo que não há a intenção, nem a necessidade, de liquidar ou de reduzir consideravelmente o nível das suas operações.</w:t>
      </w:r>
    </w:p>
    <w:p w:rsidR="0044406F" w:rsidRDefault="0044406F" w:rsidP="00EF571E">
      <w:pPr>
        <w:pStyle w:val="Cabealho"/>
        <w:jc w:val="both"/>
        <w:rPr>
          <w:rFonts w:ascii="Century Gothic" w:hAnsi="Century Gothic"/>
        </w:rPr>
      </w:pPr>
    </w:p>
    <w:p w:rsidR="0044406F" w:rsidRDefault="0044406F" w:rsidP="00EF571E">
      <w:pPr>
        <w:pStyle w:val="Cabealho"/>
        <w:jc w:val="both"/>
        <w:rPr>
          <w:rFonts w:ascii="Century Gothic" w:hAnsi="Century Gothic"/>
        </w:rPr>
      </w:pPr>
      <w:r>
        <w:rPr>
          <w:rFonts w:ascii="Century Gothic" w:hAnsi="Century Gothic"/>
        </w:rPr>
        <w:t>Não se verifica nenhuma alteração materialmente relevante, decorrente da aplicação das Normas Contabilísticas Públicas.</w:t>
      </w:r>
    </w:p>
    <w:p w:rsidR="00B12E10" w:rsidRDefault="00B12E10" w:rsidP="00EF571E">
      <w:pPr>
        <w:pStyle w:val="Cabealho"/>
        <w:jc w:val="both"/>
        <w:rPr>
          <w:rFonts w:ascii="Century Gothic" w:hAnsi="Century Gothic"/>
        </w:rPr>
      </w:pPr>
    </w:p>
    <w:p w:rsidR="00B12E10" w:rsidRDefault="00B12E10" w:rsidP="00EF571E">
      <w:pPr>
        <w:pStyle w:val="Cabealho"/>
        <w:jc w:val="both"/>
        <w:rPr>
          <w:rFonts w:ascii="Century Gothic" w:hAnsi="Century Gothic"/>
        </w:rPr>
      </w:pPr>
    </w:p>
    <w:p w:rsidR="00B12E10" w:rsidRDefault="00CC0513" w:rsidP="00B12E10">
      <w:pPr>
        <w:pStyle w:val="Cabealho"/>
        <w:jc w:val="both"/>
        <w:rPr>
          <w:rFonts w:ascii="Century Gothic" w:hAnsi="Century Gothic"/>
          <w:b/>
        </w:rPr>
      </w:pPr>
      <w:r>
        <w:rPr>
          <w:rFonts w:ascii="Century Gothic" w:hAnsi="Century Gothic"/>
          <w:b/>
        </w:rPr>
        <w:t>4.3</w:t>
      </w:r>
      <w:r w:rsidR="00B12E10" w:rsidRPr="00853E06">
        <w:rPr>
          <w:rFonts w:ascii="Century Gothic" w:hAnsi="Century Gothic"/>
          <w:b/>
        </w:rPr>
        <w:t xml:space="preserve"> </w:t>
      </w:r>
      <w:r w:rsidR="00B12E10">
        <w:rPr>
          <w:rFonts w:ascii="Century Gothic" w:hAnsi="Century Gothic"/>
          <w:b/>
        </w:rPr>
        <w:t>–</w:t>
      </w:r>
      <w:r w:rsidR="00B12E10" w:rsidRPr="00853E06">
        <w:rPr>
          <w:rFonts w:ascii="Century Gothic" w:hAnsi="Century Gothic"/>
          <w:b/>
        </w:rPr>
        <w:t xml:space="preserve"> </w:t>
      </w:r>
      <w:r w:rsidR="005131DC">
        <w:rPr>
          <w:rFonts w:ascii="Century Gothic" w:hAnsi="Century Gothic"/>
          <w:b/>
        </w:rPr>
        <w:t>Ativos intangíveis – quantia escriturada e variações no período</w:t>
      </w:r>
    </w:p>
    <w:p w:rsidR="00B12E10" w:rsidRDefault="00B12E10" w:rsidP="00EF571E">
      <w:pPr>
        <w:pStyle w:val="Cabealho"/>
        <w:jc w:val="both"/>
        <w:rPr>
          <w:rFonts w:ascii="Century Gothic" w:hAnsi="Century Gothic"/>
        </w:rPr>
      </w:pPr>
    </w:p>
    <w:p w:rsidR="005131DC" w:rsidRDefault="00CC0513" w:rsidP="00EF571E">
      <w:pPr>
        <w:pStyle w:val="Cabealho"/>
        <w:jc w:val="both"/>
        <w:rPr>
          <w:rFonts w:ascii="Century Gothic" w:hAnsi="Century Gothic"/>
        </w:rPr>
      </w:pPr>
      <w:r>
        <w:rPr>
          <w:noProof/>
        </w:rPr>
        <w:drawing>
          <wp:inline distT="0" distB="0" distL="0" distR="0" wp14:anchorId="74178602" wp14:editId="60AA7F4F">
            <wp:extent cx="5040630" cy="2679589"/>
            <wp:effectExtent l="0" t="0" r="7620" b="698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6845" cy="2693525"/>
                    </a:xfrm>
                    <a:prstGeom prst="rect">
                      <a:avLst/>
                    </a:prstGeom>
                  </pic:spPr>
                </pic:pic>
              </a:graphicData>
            </a:graphic>
          </wp:inline>
        </w:drawing>
      </w:r>
    </w:p>
    <w:p w:rsidR="00B12E10" w:rsidRDefault="00B12E10" w:rsidP="00EF571E">
      <w:pPr>
        <w:pStyle w:val="Cabealho"/>
        <w:jc w:val="both"/>
        <w:rPr>
          <w:rFonts w:ascii="Century Gothic" w:hAnsi="Century Gothic"/>
        </w:rPr>
      </w:pPr>
    </w:p>
    <w:p w:rsidR="005131DC" w:rsidRDefault="005131DC" w:rsidP="00EF571E">
      <w:pPr>
        <w:pStyle w:val="Cabealho"/>
        <w:jc w:val="both"/>
        <w:rPr>
          <w:rFonts w:ascii="Century Gothic" w:hAnsi="Century Gothic"/>
        </w:rPr>
      </w:pPr>
      <w:r>
        <w:rPr>
          <w:rFonts w:ascii="Century Gothic" w:hAnsi="Century Gothic"/>
        </w:rPr>
        <w:t>Como se pode constatar no quadro, no ano de 202</w:t>
      </w:r>
      <w:r w:rsidR="00CC0513">
        <w:rPr>
          <w:rFonts w:ascii="Century Gothic" w:hAnsi="Century Gothic"/>
        </w:rPr>
        <w:t>2</w:t>
      </w:r>
      <w:r>
        <w:rPr>
          <w:rFonts w:ascii="Century Gothic" w:hAnsi="Century Gothic"/>
        </w:rPr>
        <w:t xml:space="preserve">, </w:t>
      </w:r>
      <w:r w:rsidR="00CC0513">
        <w:rPr>
          <w:rFonts w:ascii="Century Gothic" w:hAnsi="Century Gothic"/>
        </w:rPr>
        <w:t>não se registou</w:t>
      </w:r>
      <w:r>
        <w:rPr>
          <w:rFonts w:ascii="Century Gothic" w:hAnsi="Century Gothic"/>
        </w:rPr>
        <w:t xml:space="preserve"> </w:t>
      </w:r>
      <w:r w:rsidR="00CC0513">
        <w:rPr>
          <w:rFonts w:ascii="Century Gothic" w:hAnsi="Century Gothic"/>
        </w:rPr>
        <w:t>qualquer acréscimo nos ativos intangíveis.</w:t>
      </w:r>
    </w:p>
    <w:p w:rsidR="005131DC" w:rsidRDefault="005131DC" w:rsidP="00EF571E">
      <w:pPr>
        <w:pStyle w:val="Cabealho"/>
        <w:jc w:val="both"/>
        <w:rPr>
          <w:rFonts w:ascii="Century Gothic" w:hAnsi="Century Gothic"/>
        </w:rPr>
      </w:pPr>
    </w:p>
    <w:p w:rsidR="005131DC" w:rsidRDefault="005131DC"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CC0513" w:rsidRDefault="00CC0513" w:rsidP="00EF571E">
      <w:pPr>
        <w:pStyle w:val="Cabealho"/>
        <w:jc w:val="both"/>
        <w:rPr>
          <w:rFonts w:ascii="Century Gothic" w:hAnsi="Century Gothic"/>
        </w:rPr>
      </w:pPr>
    </w:p>
    <w:p w:rsidR="00CC0513" w:rsidRDefault="00CC0513" w:rsidP="00EF571E">
      <w:pPr>
        <w:pStyle w:val="Cabealho"/>
        <w:jc w:val="both"/>
        <w:rPr>
          <w:rFonts w:ascii="Century Gothic" w:hAnsi="Century Gothic"/>
        </w:rPr>
      </w:pPr>
    </w:p>
    <w:p w:rsidR="00CC0513" w:rsidRDefault="00CC0513" w:rsidP="00EF571E">
      <w:pPr>
        <w:pStyle w:val="Cabealho"/>
        <w:jc w:val="both"/>
        <w:rPr>
          <w:rFonts w:ascii="Century Gothic" w:hAnsi="Century Gothic"/>
        </w:rPr>
      </w:pPr>
    </w:p>
    <w:p w:rsidR="00CC0513" w:rsidRDefault="00CC0513" w:rsidP="00EF571E">
      <w:pPr>
        <w:pStyle w:val="Cabealho"/>
        <w:jc w:val="both"/>
        <w:rPr>
          <w:rFonts w:ascii="Century Gothic" w:hAnsi="Century Gothic"/>
        </w:rPr>
      </w:pPr>
    </w:p>
    <w:p w:rsidR="00CC0513" w:rsidRDefault="00CC0513" w:rsidP="00EF571E">
      <w:pPr>
        <w:pStyle w:val="Cabealho"/>
        <w:jc w:val="both"/>
        <w:rPr>
          <w:rFonts w:ascii="Century Gothic" w:hAnsi="Century Gothic"/>
        </w:rPr>
      </w:pPr>
    </w:p>
    <w:p w:rsidR="005131DC" w:rsidRDefault="005131DC" w:rsidP="005131DC">
      <w:pPr>
        <w:pStyle w:val="Cabealho"/>
        <w:jc w:val="both"/>
        <w:rPr>
          <w:rFonts w:ascii="Century Gothic" w:hAnsi="Century Gothic"/>
          <w:b/>
        </w:rPr>
      </w:pPr>
      <w:r>
        <w:rPr>
          <w:rFonts w:ascii="Century Gothic" w:hAnsi="Century Gothic"/>
          <w:b/>
        </w:rPr>
        <w:lastRenderedPageBreak/>
        <w:t>4.</w:t>
      </w:r>
      <w:r w:rsidR="00A33855">
        <w:rPr>
          <w:rFonts w:ascii="Century Gothic" w:hAnsi="Century Gothic"/>
          <w:b/>
        </w:rPr>
        <w:t>4</w:t>
      </w:r>
      <w:r w:rsidRPr="00853E06">
        <w:rPr>
          <w:rFonts w:ascii="Century Gothic" w:hAnsi="Century Gothic"/>
          <w:b/>
        </w:rPr>
        <w:t xml:space="preserve"> </w:t>
      </w:r>
      <w:r>
        <w:rPr>
          <w:rFonts w:ascii="Century Gothic" w:hAnsi="Century Gothic"/>
          <w:b/>
        </w:rPr>
        <w:t>–</w:t>
      </w:r>
      <w:r w:rsidRPr="00853E06">
        <w:rPr>
          <w:rFonts w:ascii="Century Gothic" w:hAnsi="Century Gothic"/>
          <w:b/>
        </w:rPr>
        <w:t xml:space="preserve"> </w:t>
      </w:r>
      <w:r>
        <w:rPr>
          <w:rFonts w:ascii="Century Gothic" w:hAnsi="Century Gothic"/>
          <w:b/>
        </w:rPr>
        <w:t>Ativos intangíveis – desagregação das adições</w:t>
      </w:r>
    </w:p>
    <w:p w:rsidR="005131DC" w:rsidRDefault="005131DC" w:rsidP="00EF571E">
      <w:pPr>
        <w:pStyle w:val="Cabealho"/>
        <w:jc w:val="both"/>
        <w:rPr>
          <w:rFonts w:ascii="Century Gothic" w:hAnsi="Century Gothic"/>
        </w:rPr>
      </w:pPr>
    </w:p>
    <w:p w:rsidR="005131DC" w:rsidRDefault="00A33855" w:rsidP="00EF571E">
      <w:pPr>
        <w:pStyle w:val="Cabealho"/>
        <w:jc w:val="both"/>
        <w:rPr>
          <w:rFonts w:ascii="Century Gothic" w:hAnsi="Century Gothic"/>
        </w:rPr>
      </w:pPr>
      <w:r>
        <w:rPr>
          <w:noProof/>
        </w:rPr>
        <w:drawing>
          <wp:inline distT="0" distB="0" distL="0" distR="0" wp14:anchorId="2284EF94" wp14:editId="1A2FCECE">
            <wp:extent cx="5040630" cy="1971040"/>
            <wp:effectExtent l="0" t="0" r="762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630" cy="1971040"/>
                    </a:xfrm>
                    <a:prstGeom prst="rect">
                      <a:avLst/>
                    </a:prstGeom>
                  </pic:spPr>
                </pic:pic>
              </a:graphicData>
            </a:graphic>
          </wp:inline>
        </w:drawing>
      </w:r>
    </w:p>
    <w:p w:rsidR="00917030" w:rsidRDefault="005131DC" w:rsidP="00EF571E">
      <w:pPr>
        <w:pStyle w:val="Cabealho"/>
        <w:jc w:val="both"/>
        <w:rPr>
          <w:rFonts w:ascii="Century Gothic" w:hAnsi="Century Gothic"/>
        </w:rPr>
      </w:pPr>
      <w:r>
        <w:rPr>
          <w:rFonts w:ascii="Century Gothic" w:hAnsi="Century Gothic"/>
        </w:rPr>
        <w:t xml:space="preserve"> </w:t>
      </w:r>
    </w:p>
    <w:p w:rsidR="005131DC" w:rsidRDefault="00A33855" w:rsidP="00EF571E">
      <w:pPr>
        <w:pStyle w:val="Cabealho"/>
        <w:jc w:val="both"/>
        <w:rPr>
          <w:rFonts w:ascii="Century Gothic" w:hAnsi="Century Gothic"/>
        </w:rPr>
      </w:pPr>
      <w:r>
        <w:rPr>
          <w:rFonts w:ascii="Century Gothic" w:hAnsi="Century Gothic"/>
        </w:rPr>
        <w:t>Como já tínhamos referido anteriormente, neste domínio, não se registou adições.</w:t>
      </w:r>
    </w:p>
    <w:p w:rsidR="00917030" w:rsidRDefault="00917030" w:rsidP="00EF571E">
      <w:pPr>
        <w:pStyle w:val="Cabealho"/>
        <w:jc w:val="both"/>
        <w:rPr>
          <w:rFonts w:ascii="Century Gothic" w:hAnsi="Century Gothic"/>
        </w:rPr>
      </w:pPr>
    </w:p>
    <w:p w:rsidR="00917030" w:rsidRDefault="00917030" w:rsidP="00EF571E">
      <w:pPr>
        <w:pStyle w:val="Cabealho"/>
        <w:jc w:val="both"/>
        <w:rPr>
          <w:rFonts w:ascii="Century Gothic" w:hAnsi="Century Gothic"/>
        </w:rPr>
      </w:pPr>
    </w:p>
    <w:p w:rsidR="00917030" w:rsidRDefault="00917030" w:rsidP="00EF571E">
      <w:pPr>
        <w:pStyle w:val="Cabealho"/>
        <w:jc w:val="both"/>
        <w:rPr>
          <w:rFonts w:ascii="Century Gothic" w:hAnsi="Century Gothic"/>
          <w:b/>
        </w:rPr>
      </w:pPr>
      <w:r>
        <w:rPr>
          <w:rFonts w:ascii="Century Gothic" w:hAnsi="Century Gothic"/>
          <w:b/>
        </w:rPr>
        <w:t>4.</w:t>
      </w:r>
      <w:r w:rsidR="00A33855">
        <w:rPr>
          <w:rFonts w:ascii="Century Gothic" w:hAnsi="Century Gothic"/>
          <w:b/>
        </w:rPr>
        <w:t>5</w:t>
      </w:r>
      <w:r w:rsidRPr="00853E06">
        <w:rPr>
          <w:rFonts w:ascii="Century Gothic" w:hAnsi="Century Gothic"/>
          <w:b/>
        </w:rPr>
        <w:t xml:space="preserve"> </w:t>
      </w:r>
      <w:r>
        <w:rPr>
          <w:rFonts w:ascii="Century Gothic" w:hAnsi="Century Gothic"/>
          <w:b/>
        </w:rPr>
        <w:t>–</w:t>
      </w:r>
      <w:r w:rsidRPr="00853E06">
        <w:rPr>
          <w:rFonts w:ascii="Century Gothic" w:hAnsi="Century Gothic"/>
          <w:b/>
        </w:rPr>
        <w:t xml:space="preserve"> </w:t>
      </w:r>
      <w:r>
        <w:rPr>
          <w:rFonts w:ascii="Century Gothic" w:hAnsi="Century Gothic"/>
          <w:b/>
        </w:rPr>
        <w:t>Ativos intangíveis – desagregação das diminuições</w:t>
      </w:r>
    </w:p>
    <w:p w:rsidR="00917030" w:rsidRDefault="00917030" w:rsidP="00EF571E">
      <w:pPr>
        <w:pStyle w:val="Cabealho"/>
        <w:jc w:val="both"/>
        <w:rPr>
          <w:rFonts w:ascii="Century Gothic" w:hAnsi="Century Gothic"/>
        </w:rPr>
      </w:pPr>
    </w:p>
    <w:p w:rsidR="00917030" w:rsidRDefault="00C50757" w:rsidP="00EF571E">
      <w:pPr>
        <w:pStyle w:val="Cabealho"/>
        <w:jc w:val="both"/>
        <w:rPr>
          <w:rFonts w:ascii="Century Gothic" w:hAnsi="Century Gothic"/>
        </w:rPr>
      </w:pPr>
      <w:r>
        <w:rPr>
          <w:noProof/>
        </w:rPr>
        <w:drawing>
          <wp:inline distT="0" distB="0" distL="0" distR="0" wp14:anchorId="5ACCCBDB" wp14:editId="35521A9E">
            <wp:extent cx="5040630" cy="1581150"/>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630" cy="1581150"/>
                    </a:xfrm>
                    <a:prstGeom prst="rect">
                      <a:avLst/>
                    </a:prstGeom>
                  </pic:spPr>
                </pic:pic>
              </a:graphicData>
            </a:graphic>
          </wp:inline>
        </w:drawing>
      </w:r>
    </w:p>
    <w:p w:rsidR="004720E3" w:rsidRDefault="004720E3" w:rsidP="00EF571E">
      <w:pPr>
        <w:pStyle w:val="Cabealho"/>
        <w:jc w:val="both"/>
        <w:rPr>
          <w:rFonts w:ascii="Century Gothic" w:hAnsi="Century Gothic"/>
        </w:rPr>
      </w:pPr>
    </w:p>
    <w:p w:rsidR="004720E3" w:rsidRDefault="004720E3" w:rsidP="00EF571E">
      <w:pPr>
        <w:pStyle w:val="Cabealho"/>
        <w:jc w:val="both"/>
        <w:rPr>
          <w:rFonts w:ascii="Century Gothic" w:hAnsi="Century Gothic"/>
        </w:rPr>
      </w:pPr>
      <w:r>
        <w:rPr>
          <w:rFonts w:ascii="Century Gothic" w:hAnsi="Century Gothic"/>
        </w:rPr>
        <w:t>Na gerência de 202</w:t>
      </w:r>
      <w:r w:rsidR="00C50757">
        <w:rPr>
          <w:rFonts w:ascii="Century Gothic" w:hAnsi="Century Gothic"/>
        </w:rPr>
        <w:t>2</w:t>
      </w:r>
      <w:r>
        <w:rPr>
          <w:rFonts w:ascii="Century Gothic" w:hAnsi="Century Gothic"/>
        </w:rPr>
        <w:t>, não foram registadas diminuições.</w:t>
      </w:r>
    </w:p>
    <w:p w:rsidR="004720E3" w:rsidRDefault="004720E3" w:rsidP="00EF571E">
      <w:pPr>
        <w:pStyle w:val="Cabealho"/>
        <w:jc w:val="both"/>
        <w:rPr>
          <w:rFonts w:ascii="Century Gothic" w:hAnsi="Century Gothic"/>
        </w:rPr>
      </w:pPr>
    </w:p>
    <w:p w:rsidR="00DC1688" w:rsidRDefault="00DC168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C50757" w:rsidRDefault="00C50757" w:rsidP="00EF571E">
      <w:pPr>
        <w:pStyle w:val="Cabealho"/>
        <w:jc w:val="both"/>
        <w:rPr>
          <w:rFonts w:ascii="Century Gothic" w:hAnsi="Century Gothic"/>
        </w:rPr>
      </w:pPr>
    </w:p>
    <w:p w:rsidR="00C50757" w:rsidRDefault="00C50757" w:rsidP="00EF571E">
      <w:pPr>
        <w:pStyle w:val="Cabealho"/>
        <w:jc w:val="both"/>
        <w:rPr>
          <w:rFonts w:ascii="Century Gothic" w:hAnsi="Century Gothic"/>
        </w:rPr>
      </w:pPr>
    </w:p>
    <w:p w:rsidR="00C50757" w:rsidRDefault="00C50757" w:rsidP="00EF571E">
      <w:pPr>
        <w:pStyle w:val="Cabealho"/>
        <w:jc w:val="both"/>
        <w:rPr>
          <w:rFonts w:ascii="Century Gothic" w:hAnsi="Century Gothic"/>
        </w:rPr>
      </w:pPr>
    </w:p>
    <w:p w:rsidR="00C50757" w:rsidRDefault="00C50757" w:rsidP="00EF571E">
      <w:pPr>
        <w:pStyle w:val="Cabealho"/>
        <w:jc w:val="both"/>
        <w:rPr>
          <w:rFonts w:ascii="Century Gothic" w:hAnsi="Century Gothic"/>
        </w:rPr>
      </w:pPr>
    </w:p>
    <w:p w:rsidR="00C50757" w:rsidRDefault="00C50757" w:rsidP="00EF571E">
      <w:pPr>
        <w:pStyle w:val="Cabealho"/>
        <w:jc w:val="both"/>
        <w:rPr>
          <w:rFonts w:ascii="Century Gothic" w:hAnsi="Century Gothic"/>
        </w:rPr>
      </w:pPr>
    </w:p>
    <w:p w:rsidR="00DC1688" w:rsidRDefault="00DC1688" w:rsidP="00DC1688">
      <w:pPr>
        <w:pStyle w:val="Cabealho"/>
        <w:jc w:val="both"/>
        <w:rPr>
          <w:rFonts w:ascii="Century Gothic" w:hAnsi="Century Gothic"/>
          <w:b/>
        </w:rPr>
      </w:pPr>
      <w:r>
        <w:rPr>
          <w:rFonts w:ascii="Century Gothic" w:hAnsi="Century Gothic"/>
          <w:b/>
        </w:rPr>
        <w:lastRenderedPageBreak/>
        <w:t>4.</w:t>
      </w:r>
      <w:r w:rsidR="00C50757">
        <w:rPr>
          <w:rFonts w:ascii="Century Gothic" w:hAnsi="Century Gothic"/>
          <w:b/>
        </w:rPr>
        <w:t>6</w:t>
      </w:r>
      <w:r w:rsidRPr="00853E06">
        <w:rPr>
          <w:rFonts w:ascii="Century Gothic" w:hAnsi="Century Gothic"/>
          <w:b/>
        </w:rPr>
        <w:t xml:space="preserve"> </w:t>
      </w:r>
      <w:r>
        <w:rPr>
          <w:rFonts w:ascii="Century Gothic" w:hAnsi="Century Gothic"/>
          <w:b/>
        </w:rPr>
        <w:t>–</w:t>
      </w:r>
      <w:r w:rsidRPr="00853E06">
        <w:rPr>
          <w:rFonts w:ascii="Century Gothic" w:hAnsi="Century Gothic"/>
          <w:b/>
        </w:rPr>
        <w:t xml:space="preserve"> </w:t>
      </w:r>
      <w:r>
        <w:rPr>
          <w:rFonts w:ascii="Century Gothic" w:hAnsi="Century Gothic"/>
          <w:b/>
        </w:rPr>
        <w:t>Ativos fixos tangíveis – quantia escriturada e variações no período</w:t>
      </w:r>
    </w:p>
    <w:p w:rsidR="004720E3" w:rsidRDefault="004720E3" w:rsidP="00EF571E">
      <w:pPr>
        <w:pStyle w:val="Cabealho"/>
        <w:jc w:val="both"/>
        <w:rPr>
          <w:rFonts w:ascii="Century Gothic" w:hAnsi="Century Gothic"/>
        </w:rPr>
      </w:pPr>
    </w:p>
    <w:p w:rsidR="00DC1688" w:rsidRDefault="00E73578" w:rsidP="00EF571E">
      <w:pPr>
        <w:pStyle w:val="Cabealho"/>
        <w:jc w:val="both"/>
        <w:rPr>
          <w:rFonts w:ascii="Century Gothic" w:hAnsi="Century Gothic"/>
        </w:rPr>
      </w:pPr>
      <w:r>
        <w:rPr>
          <w:noProof/>
        </w:rPr>
        <w:drawing>
          <wp:inline distT="0" distB="0" distL="0" distR="0" wp14:anchorId="737AAD33" wp14:editId="0DEFE79A">
            <wp:extent cx="5040630" cy="3475990"/>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630" cy="3475990"/>
                    </a:xfrm>
                    <a:prstGeom prst="rect">
                      <a:avLst/>
                    </a:prstGeom>
                  </pic:spPr>
                </pic:pic>
              </a:graphicData>
            </a:graphic>
          </wp:inline>
        </w:drawing>
      </w:r>
    </w:p>
    <w:p w:rsidR="009C03A3" w:rsidRDefault="009C03A3" w:rsidP="00EF571E">
      <w:pPr>
        <w:pStyle w:val="Cabealho"/>
        <w:jc w:val="both"/>
        <w:rPr>
          <w:rFonts w:ascii="Century Gothic" w:hAnsi="Century Gothic"/>
        </w:rPr>
      </w:pPr>
    </w:p>
    <w:p w:rsidR="009C03A3" w:rsidRDefault="009C03A3" w:rsidP="00EF571E">
      <w:pPr>
        <w:pStyle w:val="Cabealho"/>
        <w:jc w:val="both"/>
        <w:rPr>
          <w:rFonts w:ascii="Century Gothic" w:hAnsi="Century Gothic"/>
        </w:rPr>
      </w:pPr>
    </w:p>
    <w:p w:rsidR="009C03A3" w:rsidRDefault="00396288" w:rsidP="00EF571E">
      <w:pPr>
        <w:pStyle w:val="Cabealho"/>
        <w:jc w:val="both"/>
        <w:rPr>
          <w:rFonts w:ascii="Century Gothic" w:hAnsi="Century Gothic"/>
        </w:rPr>
      </w:pPr>
      <w:r>
        <w:rPr>
          <w:noProof/>
        </w:rPr>
        <w:drawing>
          <wp:inline distT="0" distB="0" distL="0" distR="0" wp14:anchorId="326F74A9" wp14:editId="09BE556D">
            <wp:extent cx="5040630" cy="1360170"/>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0630" cy="1360170"/>
                    </a:xfrm>
                    <a:prstGeom prst="rect">
                      <a:avLst/>
                    </a:prstGeom>
                  </pic:spPr>
                </pic:pic>
              </a:graphicData>
            </a:graphic>
          </wp:inline>
        </w:drawing>
      </w:r>
    </w:p>
    <w:p w:rsidR="009C03A3" w:rsidRDefault="009C03A3" w:rsidP="00EF571E">
      <w:pPr>
        <w:pStyle w:val="Cabealho"/>
        <w:jc w:val="both"/>
        <w:rPr>
          <w:rFonts w:ascii="Century Gothic" w:hAnsi="Century Gothic"/>
        </w:rPr>
      </w:pPr>
    </w:p>
    <w:p w:rsidR="00026EFF" w:rsidRDefault="009C03A3" w:rsidP="00EF571E">
      <w:pPr>
        <w:pStyle w:val="Cabealho"/>
        <w:jc w:val="both"/>
        <w:rPr>
          <w:rFonts w:ascii="Century Gothic" w:hAnsi="Century Gothic"/>
        </w:rPr>
      </w:pPr>
      <w:r>
        <w:rPr>
          <w:rFonts w:ascii="Century Gothic" w:hAnsi="Century Gothic"/>
        </w:rPr>
        <w:t>Devido à extensão deste mapa, não foi possível colocar toda a informação no mesmo quadro.</w:t>
      </w:r>
    </w:p>
    <w:p w:rsidR="00026EFF" w:rsidRDefault="00026EFF" w:rsidP="00EF571E">
      <w:pPr>
        <w:pStyle w:val="Cabealho"/>
        <w:jc w:val="both"/>
        <w:rPr>
          <w:rFonts w:ascii="Century Gothic" w:hAnsi="Century Gothic"/>
        </w:rPr>
      </w:pPr>
    </w:p>
    <w:p w:rsidR="00026EFF" w:rsidRDefault="00026EFF" w:rsidP="00EF571E">
      <w:pPr>
        <w:pStyle w:val="Cabealho"/>
        <w:jc w:val="both"/>
        <w:rPr>
          <w:rFonts w:ascii="Century Gothic" w:hAnsi="Century Gothic"/>
        </w:rPr>
      </w:pPr>
      <w:r>
        <w:rPr>
          <w:rFonts w:ascii="Century Gothic" w:hAnsi="Century Gothic"/>
        </w:rPr>
        <w:t xml:space="preserve">Esta entidade só tem registos nos outros ativos fixos tangíveis. </w:t>
      </w:r>
    </w:p>
    <w:p w:rsidR="00DA44C6" w:rsidRDefault="00DA44C6" w:rsidP="00EF571E">
      <w:pPr>
        <w:pStyle w:val="Cabealho"/>
        <w:jc w:val="both"/>
        <w:rPr>
          <w:rFonts w:ascii="Century Gothic" w:hAnsi="Century Gothic"/>
        </w:rPr>
      </w:pPr>
    </w:p>
    <w:p w:rsidR="00DA44C6" w:rsidRDefault="00E73578" w:rsidP="00E73578">
      <w:pPr>
        <w:pStyle w:val="Cabealho"/>
        <w:jc w:val="center"/>
        <w:rPr>
          <w:rFonts w:ascii="Century Gothic" w:hAnsi="Century Gothic"/>
        </w:rPr>
      </w:pPr>
      <w:r>
        <w:rPr>
          <w:noProof/>
        </w:rPr>
        <w:lastRenderedPageBreak/>
        <w:drawing>
          <wp:inline distT="0" distB="0" distL="0" distR="0" wp14:anchorId="578DA270" wp14:editId="09854449">
            <wp:extent cx="5029200" cy="23876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9200" cy="2387600"/>
                    </a:xfrm>
                    <a:prstGeom prst="rect">
                      <a:avLst/>
                    </a:prstGeom>
                  </pic:spPr>
                </pic:pic>
              </a:graphicData>
            </a:graphic>
          </wp:inline>
        </w:drawing>
      </w:r>
    </w:p>
    <w:p w:rsidR="00DA44C6" w:rsidRDefault="00DA44C6" w:rsidP="00EF571E">
      <w:pPr>
        <w:pStyle w:val="Cabealho"/>
        <w:jc w:val="both"/>
        <w:rPr>
          <w:rFonts w:ascii="Century Gothic" w:hAnsi="Century Gothic"/>
        </w:rPr>
      </w:pPr>
    </w:p>
    <w:p w:rsidR="00DA44C6" w:rsidRDefault="00DA44C6" w:rsidP="00EF571E">
      <w:pPr>
        <w:pStyle w:val="Cabealho"/>
        <w:jc w:val="both"/>
        <w:rPr>
          <w:rFonts w:ascii="Century Gothic" w:hAnsi="Century Gothic"/>
        </w:rPr>
      </w:pPr>
      <w:r>
        <w:rPr>
          <w:rFonts w:ascii="Century Gothic" w:hAnsi="Century Gothic"/>
        </w:rPr>
        <w:t>O equipamen</w:t>
      </w:r>
      <w:r w:rsidR="00E73578">
        <w:rPr>
          <w:rFonts w:ascii="Century Gothic" w:hAnsi="Century Gothic"/>
        </w:rPr>
        <w:t>to básico representa cerca de 75</w:t>
      </w:r>
      <w:r>
        <w:rPr>
          <w:rFonts w:ascii="Century Gothic" w:hAnsi="Century Gothic"/>
        </w:rPr>
        <w:t>% dos ativos fixos tangíveis, seguindo-se o e</w:t>
      </w:r>
      <w:r w:rsidR="00E73578">
        <w:rPr>
          <w:rFonts w:ascii="Century Gothic" w:hAnsi="Century Gothic"/>
        </w:rPr>
        <w:t>quipamento administrativo com 17</w:t>
      </w:r>
      <w:r>
        <w:rPr>
          <w:rFonts w:ascii="Century Gothic" w:hAnsi="Century Gothic"/>
        </w:rPr>
        <w:t>% e os outros com o restante.</w:t>
      </w:r>
    </w:p>
    <w:p w:rsidR="00DA44C6" w:rsidRDefault="00DA44C6" w:rsidP="00EF571E">
      <w:pPr>
        <w:pStyle w:val="Cabealho"/>
        <w:jc w:val="both"/>
        <w:rPr>
          <w:rFonts w:ascii="Century Gothic" w:hAnsi="Century Gothic"/>
        </w:rPr>
      </w:pPr>
    </w:p>
    <w:p w:rsidR="00DA44C6" w:rsidRDefault="00DA44C6" w:rsidP="00EF571E">
      <w:pPr>
        <w:pStyle w:val="Cabealho"/>
        <w:jc w:val="both"/>
        <w:rPr>
          <w:rFonts w:ascii="Century Gothic" w:hAnsi="Century Gothic"/>
        </w:rPr>
      </w:pPr>
    </w:p>
    <w:p w:rsidR="00DA44C6" w:rsidRDefault="00E73578" w:rsidP="00DA44C6">
      <w:pPr>
        <w:pStyle w:val="Cabealho"/>
        <w:jc w:val="both"/>
        <w:rPr>
          <w:rFonts w:ascii="Century Gothic" w:hAnsi="Century Gothic"/>
          <w:b/>
        </w:rPr>
      </w:pPr>
      <w:r>
        <w:rPr>
          <w:rFonts w:ascii="Century Gothic" w:hAnsi="Century Gothic"/>
          <w:b/>
        </w:rPr>
        <w:t>4.7</w:t>
      </w:r>
      <w:r w:rsidR="00DA44C6" w:rsidRPr="00853E06">
        <w:rPr>
          <w:rFonts w:ascii="Century Gothic" w:hAnsi="Century Gothic"/>
          <w:b/>
        </w:rPr>
        <w:t xml:space="preserve"> </w:t>
      </w:r>
      <w:r w:rsidR="00DA44C6">
        <w:rPr>
          <w:rFonts w:ascii="Century Gothic" w:hAnsi="Century Gothic"/>
          <w:b/>
        </w:rPr>
        <w:t>–</w:t>
      </w:r>
      <w:r w:rsidR="00DA44C6" w:rsidRPr="00853E06">
        <w:rPr>
          <w:rFonts w:ascii="Century Gothic" w:hAnsi="Century Gothic"/>
          <w:b/>
        </w:rPr>
        <w:t xml:space="preserve"> </w:t>
      </w:r>
      <w:r w:rsidR="00DA44C6">
        <w:rPr>
          <w:rFonts w:ascii="Century Gothic" w:hAnsi="Century Gothic"/>
          <w:b/>
        </w:rPr>
        <w:t xml:space="preserve">Ativos fixos tangíveis – </w:t>
      </w:r>
      <w:r w:rsidR="00B80272">
        <w:rPr>
          <w:rFonts w:ascii="Century Gothic" w:hAnsi="Century Gothic"/>
          <w:b/>
        </w:rPr>
        <w:t>desagregação das adições</w:t>
      </w:r>
    </w:p>
    <w:p w:rsidR="00DA44C6" w:rsidRDefault="00DA44C6" w:rsidP="00EF571E">
      <w:pPr>
        <w:pStyle w:val="Cabealho"/>
        <w:jc w:val="both"/>
        <w:rPr>
          <w:rFonts w:ascii="Century Gothic" w:hAnsi="Century Gothic"/>
        </w:rPr>
      </w:pPr>
    </w:p>
    <w:p w:rsidR="00311043" w:rsidRDefault="00311043" w:rsidP="00EF571E">
      <w:pPr>
        <w:pStyle w:val="Cabealho"/>
        <w:jc w:val="both"/>
        <w:rPr>
          <w:rFonts w:ascii="Century Gothic" w:hAnsi="Century Gothic"/>
        </w:rPr>
      </w:pPr>
    </w:p>
    <w:p w:rsidR="00B80272" w:rsidRDefault="00E73578" w:rsidP="00EF571E">
      <w:pPr>
        <w:pStyle w:val="Cabealho"/>
        <w:jc w:val="both"/>
        <w:rPr>
          <w:rFonts w:ascii="Century Gothic" w:hAnsi="Century Gothic"/>
        </w:rPr>
      </w:pPr>
      <w:r>
        <w:rPr>
          <w:noProof/>
        </w:rPr>
        <w:drawing>
          <wp:inline distT="0" distB="0" distL="0" distR="0" wp14:anchorId="44FBD2E6" wp14:editId="123D04E4">
            <wp:extent cx="5040630" cy="3312795"/>
            <wp:effectExtent l="0" t="0" r="762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630" cy="3312795"/>
                    </a:xfrm>
                    <a:prstGeom prst="rect">
                      <a:avLst/>
                    </a:prstGeom>
                  </pic:spPr>
                </pic:pic>
              </a:graphicData>
            </a:graphic>
          </wp:inline>
        </w:drawing>
      </w:r>
    </w:p>
    <w:p w:rsidR="00B80272" w:rsidRDefault="00B80272" w:rsidP="00EF571E">
      <w:pPr>
        <w:pStyle w:val="Cabealho"/>
        <w:jc w:val="both"/>
        <w:rPr>
          <w:rFonts w:ascii="Century Gothic" w:hAnsi="Century Gothic"/>
        </w:rPr>
      </w:pPr>
    </w:p>
    <w:p w:rsidR="00B80272" w:rsidRDefault="00E73578" w:rsidP="00EF571E">
      <w:pPr>
        <w:pStyle w:val="Cabealho"/>
        <w:jc w:val="both"/>
        <w:rPr>
          <w:rFonts w:ascii="Century Gothic" w:hAnsi="Century Gothic"/>
        </w:rPr>
      </w:pPr>
      <w:r>
        <w:rPr>
          <w:noProof/>
        </w:rPr>
        <w:lastRenderedPageBreak/>
        <w:drawing>
          <wp:inline distT="0" distB="0" distL="0" distR="0" wp14:anchorId="7181C989" wp14:editId="6307BDF4">
            <wp:extent cx="5040630" cy="1453515"/>
            <wp:effectExtent l="0" t="0" r="762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630" cy="1453515"/>
                    </a:xfrm>
                    <a:prstGeom prst="rect">
                      <a:avLst/>
                    </a:prstGeom>
                  </pic:spPr>
                </pic:pic>
              </a:graphicData>
            </a:graphic>
          </wp:inline>
        </w:drawing>
      </w:r>
    </w:p>
    <w:p w:rsidR="00311043" w:rsidRDefault="00311043" w:rsidP="00EF571E">
      <w:pPr>
        <w:pStyle w:val="Cabealho"/>
        <w:jc w:val="both"/>
        <w:rPr>
          <w:rFonts w:ascii="Century Gothic" w:hAnsi="Century Gothic"/>
        </w:rPr>
      </w:pPr>
    </w:p>
    <w:p w:rsidR="00311043" w:rsidRDefault="00311043" w:rsidP="00EF571E">
      <w:pPr>
        <w:pStyle w:val="Cabealho"/>
        <w:jc w:val="both"/>
        <w:rPr>
          <w:rFonts w:ascii="Century Gothic" w:hAnsi="Century Gothic"/>
        </w:rPr>
      </w:pPr>
      <w:r>
        <w:rPr>
          <w:rFonts w:ascii="Century Gothic" w:hAnsi="Century Gothic"/>
        </w:rPr>
        <w:t>As adições dos at</w:t>
      </w:r>
      <w:r w:rsidR="00E73578">
        <w:rPr>
          <w:rFonts w:ascii="Century Gothic" w:hAnsi="Century Gothic"/>
        </w:rPr>
        <w:t>ivos fixos tangíveis foram</w:t>
      </w:r>
      <w:r>
        <w:rPr>
          <w:rFonts w:ascii="Century Gothic" w:hAnsi="Century Gothic"/>
        </w:rPr>
        <w:t xml:space="preserve"> concretizadas através de compras</w:t>
      </w:r>
      <w:r w:rsidR="00E73578">
        <w:rPr>
          <w:rFonts w:ascii="Century Gothic" w:hAnsi="Century Gothic"/>
        </w:rPr>
        <w:t xml:space="preserve"> e doações</w:t>
      </w:r>
      <w:r>
        <w:rPr>
          <w:rFonts w:ascii="Century Gothic" w:hAnsi="Century Gothic"/>
        </w:rPr>
        <w:t>.</w:t>
      </w:r>
    </w:p>
    <w:p w:rsidR="00311043" w:rsidRDefault="00311043" w:rsidP="00EF571E">
      <w:pPr>
        <w:pStyle w:val="Cabealho"/>
        <w:jc w:val="both"/>
        <w:rPr>
          <w:rFonts w:ascii="Century Gothic" w:hAnsi="Century Gothic"/>
        </w:rPr>
      </w:pPr>
    </w:p>
    <w:p w:rsidR="00311043" w:rsidRDefault="00311043" w:rsidP="00EF571E">
      <w:pPr>
        <w:pStyle w:val="Cabealho"/>
        <w:jc w:val="both"/>
        <w:rPr>
          <w:rFonts w:ascii="Century Gothic" w:hAnsi="Century Gothic"/>
        </w:rPr>
      </w:pPr>
    </w:p>
    <w:p w:rsidR="00311043" w:rsidRDefault="00C87BC8" w:rsidP="00311043">
      <w:pPr>
        <w:pStyle w:val="Cabealho"/>
        <w:jc w:val="both"/>
        <w:rPr>
          <w:rFonts w:ascii="Century Gothic" w:hAnsi="Century Gothic"/>
          <w:b/>
        </w:rPr>
      </w:pPr>
      <w:r>
        <w:rPr>
          <w:rFonts w:ascii="Century Gothic" w:hAnsi="Century Gothic"/>
          <w:b/>
        </w:rPr>
        <w:t>4.8</w:t>
      </w:r>
      <w:r w:rsidR="00311043" w:rsidRPr="00853E06">
        <w:rPr>
          <w:rFonts w:ascii="Century Gothic" w:hAnsi="Century Gothic"/>
          <w:b/>
        </w:rPr>
        <w:t xml:space="preserve"> </w:t>
      </w:r>
      <w:r w:rsidR="00311043">
        <w:rPr>
          <w:rFonts w:ascii="Century Gothic" w:hAnsi="Century Gothic"/>
          <w:b/>
        </w:rPr>
        <w:t>–</w:t>
      </w:r>
      <w:r w:rsidR="00311043" w:rsidRPr="00853E06">
        <w:rPr>
          <w:rFonts w:ascii="Century Gothic" w:hAnsi="Century Gothic"/>
          <w:b/>
        </w:rPr>
        <w:t xml:space="preserve"> </w:t>
      </w:r>
      <w:r w:rsidR="00311043">
        <w:rPr>
          <w:rFonts w:ascii="Century Gothic" w:hAnsi="Century Gothic"/>
          <w:b/>
        </w:rPr>
        <w:t>Ativos fixos tangíveis – desagregação das diminuições</w:t>
      </w:r>
    </w:p>
    <w:p w:rsidR="00086E72" w:rsidRDefault="00086E72" w:rsidP="00311043">
      <w:pPr>
        <w:pStyle w:val="Cabealho"/>
        <w:jc w:val="both"/>
        <w:rPr>
          <w:rFonts w:ascii="Century Gothic" w:hAnsi="Century Gothic"/>
          <w:b/>
        </w:rPr>
      </w:pPr>
    </w:p>
    <w:p w:rsidR="00311043" w:rsidRDefault="00311043" w:rsidP="00EF571E">
      <w:pPr>
        <w:pStyle w:val="Cabealho"/>
        <w:jc w:val="both"/>
        <w:rPr>
          <w:rFonts w:ascii="Century Gothic" w:hAnsi="Century Gothic"/>
        </w:rPr>
      </w:pPr>
    </w:p>
    <w:p w:rsidR="00086E72" w:rsidRDefault="00E73578" w:rsidP="00EF571E">
      <w:pPr>
        <w:pStyle w:val="Cabealho"/>
        <w:jc w:val="both"/>
        <w:rPr>
          <w:rFonts w:ascii="Century Gothic" w:hAnsi="Century Gothic"/>
        </w:rPr>
      </w:pPr>
      <w:r>
        <w:rPr>
          <w:noProof/>
        </w:rPr>
        <w:drawing>
          <wp:inline distT="0" distB="0" distL="0" distR="0" wp14:anchorId="03919A5F" wp14:editId="3A771C1F">
            <wp:extent cx="5040630" cy="3073400"/>
            <wp:effectExtent l="0" t="0" r="762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630" cy="3073400"/>
                    </a:xfrm>
                    <a:prstGeom prst="rect">
                      <a:avLst/>
                    </a:prstGeom>
                  </pic:spPr>
                </pic:pic>
              </a:graphicData>
            </a:graphic>
          </wp:inline>
        </w:drawing>
      </w:r>
    </w:p>
    <w:p w:rsidR="00086E72" w:rsidRDefault="00086E72" w:rsidP="00EF571E">
      <w:pPr>
        <w:pStyle w:val="Cabealho"/>
        <w:jc w:val="both"/>
        <w:rPr>
          <w:rFonts w:ascii="Century Gothic" w:hAnsi="Century Gothic"/>
        </w:rPr>
      </w:pPr>
    </w:p>
    <w:p w:rsidR="00086E72" w:rsidRDefault="00086E72" w:rsidP="00EF571E">
      <w:pPr>
        <w:pStyle w:val="Cabealho"/>
        <w:jc w:val="both"/>
        <w:rPr>
          <w:rFonts w:ascii="Century Gothic" w:hAnsi="Century Gothic"/>
        </w:rPr>
      </w:pPr>
      <w:r>
        <w:rPr>
          <w:rFonts w:ascii="Century Gothic" w:hAnsi="Century Gothic"/>
        </w:rPr>
        <w:t>No período do relato, não se registaram diminuições.</w:t>
      </w:r>
    </w:p>
    <w:p w:rsidR="00086E72" w:rsidRDefault="00086E72" w:rsidP="00EF571E">
      <w:pPr>
        <w:pStyle w:val="Cabealho"/>
        <w:jc w:val="both"/>
        <w:rPr>
          <w:rFonts w:ascii="Century Gothic" w:hAnsi="Century Gothic"/>
        </w:rPr>
      </w:pPr>
    </w:p>
    <w:p w:rsidR="00817096" w:rsidRDefault="00817096" w:rsidP="00EF571E">
      <w:pPr>
        <w:pStyle w:val="Cabealho"/>
        <w:jc w:val="both"/>
        <w:rPr>
          <w:rFonts w:ascii="Century Gothic" w:hAnsi="Century Gothic"/>
        </w:rPr>
      </w:pPr>
    </w:p>
    <w:p w:rsidR="00086E72" w:rsidRDefault="00C87BC8" w:rsidP="00EF571E">
      <w:pPr>
        <w:pStyle w:val="Cabealho"/>
        <w:jc w:val="both"/>
        <w:rPr>
          <w:rFonts w:ascii="Century Gothic" w:hAnsi="Century Gothic"/>
          <w:b/>
        </w:rPr>
      </w:pPr>
      <w:r>
        <w:rPr>
          <w:rFonts w:ascii="Century Gothic" w:hAnsi="Century Gothic"/>
          <w:b/>
        </w:rPr>
        <w:t>4.9</w:t>
      </w:r>
      <w:r w:rsidR="00817096" w:rsidRPr="00853E06">
        <w:rPr>
          <w:rFonts w:ascii="Century Gothic" w:hAnsi="Century Gothic"/>
          <w:b/>
        </w:rPr>
        <w:t xml:space="preserve"> </w:t>
      </w:r>
      <w:r w:rsidR="00817096">
        <w:rPr>
          <w:rFonts w:ascii="Century Gothic" w:hAnsi="Century Gothic"/>
          <w:b/>
        </w:rPr>
        <w:t>–</w:t>
      </w:r>
      <w:r w:rsidR="00817096" w:rsidRPr="00853E06">
        <w:rPr>
          <w:rFonts w:ascii="Century Gothic" w:hAnsi="Century Gothic"/>
          <w:b/>
        </w:rPr>
        <w:t xml:space="preserve"> </w:t>
      </w:r>
      <w:r w:rsidR="00817096">
        <w:rPr>
          <w:rFonts w:ascii="Century Gothic" w:hAnsi="Century Gothic"/>
          <w:b/>
        </w:rPr>
        <w:t>Outras divulgações</w:t>
      </w:r>
    </w:p>
    <w:p w:rsidR="00817096" w:rsidRDefault="00817096" w:rsidP="00EF571E">
      <w:pPr>
        <w:pStyle w:val="Cabealho"/>
        <w:jc w:val="both"/>
        <w:rPr>
          <w:rFonts w:ascii="Century Gothic" w:hAnsi="Century Gothic"/>
          <w:b/>
        </w:rPr>
      </w:pPr>
    </w:p>
    <w:p w:rsidR="002A7AED" w:rsidRDefault="00BD0953" w:rsidP="002A7AED">
      <w:pPr>
        <w:jc w:val="both"/>
        <w:rPr>
          <w:rFonts w:ascii="Century Gothic" w:hAnsi="Century Gothic"/>
        </w:rPr>
      </w:pPr>
      <w:r>
        <w:rPr>
          <w:rFonts w:ascii="Century Gothic" w:hAnsi="Century Gothic"/>
        </w:rPr>
        <w:t xml:space="preserve">Como já referimos no ponto </w:t>
      </w:r>
      <w:r w:rsidR="002A7AED">
        <w:rPr>
          <w:rFonts w:ascii="Century Gothic" w:hAnsi="Century Gothic"/>
        </w:rPr>
        <w:t>2.5 deste relatório, a</w:t>
      </w:r>
      <w:r w:rsidR="002A7AED" w:rsidRPr="00EB244D">
        <w:rPr>
          <w:rFonts w:ascii="Century Gothic" w:hAnsi="Century Gothic"/>
        </w:rPr>
        <w:t xml:space="preserve"> Escola dispõe</w:t>
      </w:r>
      <w:r w:rsidR="002A7AED">
        <w:rPr>
          <w:rFonts w:ascii="Century Gothic" w:hAnsi="Century Gothic"/>
        </w:rPr>
        <w:t>, no seu quadro (sendo de ressalvar que no caso do pessoal docente são professores do quadro da Escola, enquanto que os restantes colaboradores são do quadro de ilha afetos a esta Escola),</w:t>
      </w:r>
      <w:r w:rsidR="002A7AED" w:rsidRPr="00EB244D">
        <w:rPr>
          <w:rFonts w:ascii="Century Gothic" w:hAnsi="Century Gothic"/>
        </w:rPr>
        <w:t xml:space="preserve"> de </w:t>
      </w:r>
      <w:r w:rsidR="002A7AED">
        <w:rPr>
          <w:rFonts w:ascii="Century Gothic" w:hAnsi="Century Gothic"/>
        </w:rPr>
        <w:t>3</w:t>
      </w:r>
      <w:r w:rsidR="002A7AED" w:rsidRPr="00EB244D">
        <w:rPr>
          <w:rFonts w:ascii="Century Gothic" w:hAnsi="Century Gothic"/>
        </w:rPr>
        <w:t xml:space="preserve"> Técnicos Supe</w:t>
      </w:r>
      <w:r w:rsidR="002A7AED">
        <w:rPr>
          <w:rFonts w:ascii="Century Gothic" w:hAnsi="Century Gothic"/>
        </w:rPr>
        <w:t>riores, nas áreas de Sociologia, Psicologia e Financeira, 1</w:t>
      </w:r>
      <w:r w:rsidR="002A7AED" w:rsidRPr="00EB244D">
        <w:rPr>
          <w:rFonts w:ascii="Century Gothic" w:hAnsi="Century Gothic"/>
        </w:rPr>
        <w:t xml:space="preserve"> Técnico</w:t>
      </w:r>
      <w:r w:rsidR="002A7AED">
        <w:rPr>
          <w:rFonts w:ascii="Century Gothic" w:hAnsi="Century Gothic"/>
        </w:rPr>
        <w:t xml:space="preserve"> Especialista</w:t>
      </w:r>
      <w:r w:rsidR="002A7AED" w:rsidRPr="00EB244D">
        <w:rPr>
          <w:rFonts w:ascii="Century Gothic" w:hAnsi="Century Gothic"/>
        </w:rPr>
        <w:t xml:space="preserve"> de Informática, </w:t>
      </w:r>
      <w:r w:rsidR="002A7AED">
        <w:rPr>
          <w:rFonts w:ascii="Century Gothic" w:hAnsi="Century Gothic"/>
        </w:rPr>
        <w:t>1 encarregada do pessoal de apoio educativo, 13 Assistentes Operacionais, 1 Coordenadora Técnica, 5 Assist</w:t>
      </w:r>
      <w:r w:rsidR="00C87BC8">
        <w:rPr>
          <w:rFonts w:ascii="Century Gothic" w:hAnsi="Century Gothic"/>
        </w:rPr>
        <w:t>entes Técnicos, 3 Professores, 3</w:t>
      </w:r>
      <w:r w:rsidR="002A7AED">
        <w:rPr>
          <w:rFonts w:ascii="Century Gothic" w:hAnsi="Century Gothic"/>
        </w:rPr>
        <w:t xml:space="preserve"> Monitores de Formação Profissional. Um dos professores faz parte da Direção Executiva.</w:t>
      </w:r>
    </w:p>
    <w:p w:rsidR="002A7AED" w:rsidRDefault="002A7AED" w:rsidP="002A7AED">
      <w:pPr>
        <w:jc w:val="both"/>
        <w:rPr>
          <w:rFonts w:ascii="Century Gothic" w:hAnsi="Century Gothic"/>
        </w:rPr>
      </w:pPr>
    </w:p>
    <w:p w:rsidR="002A7AED" w:rsidRDefault="002A7AED" w:rsidP="002A7AED">
      <w:pPr>
        <w:jc w:val="both"/>
        <w:rPr>
          <w:rFonts w:ascii="Century Gothic" w:hAnsi="Century Gothic"/>
        </w:rPr>
      </w:pPr>
      <w:r>
        <w:rPr>
          <w:rFonts w:ascii="Century Gothic" w:hAnsi="Century Gothic"/>
        </w:rPr>
        <w:t xml:space="preserve">Além do pessoal do quadro, conta com a participação de </w:t>
      </w:r>
      <w:r w:rsidR="00530A8D">
        <w:rPr>
          <w:rFonts w:ascii="Century Gothic" w:hAnsi="Century Gothic"/>
        </w:rPr>
        <w:t>2</w:t>
      </w:r>
      <w:r w:rsidR="00C87BC8">
        <w:rPr>
          <w:rFonts w:ascii="Century Gothic" w:hAnsi="Century Gothic"/>
        </w:rPr>
        <w:t>0</w:t>
      </w:r>
      <w:r>
        <w:rPr>
          <w:rFonts w:ascii="Century Gothic" w:hAnsi="Century Gothic"/>
        </w:rPr>
        <w:t xml:space="preserve"> formadores externos.</w:t>
      </w:r>
    </w:p>
    <w:p w:rsidR="00817096" w:rsidRDefault="00817096" w:rsidP="00EF571E">
      <w:pPr>
        <w:pStyle w:val="Cabealho"/>
        <w:jc w:val="both"/>
        <w:rPr>
          <w:rFonts w:ascii="Century Gothic" w:hAnsi="Century Gothic"/>
        </w:rPr>
      </w:pPr>
    </w:p>
    <w:p w:rsidR="002A7AED" w:rsidRDefault="00A10808" w:rsidP="00EF571E">
      <w:pPr>
        <w:pStyle w:val="Cabealho"/>
        <w:jc w:val="both"/>
        <w:rPr>
          <w:rFonts w:ascii="Century Gothic" w:hAnsi="Century Gothic"/>
        </w:rPr>
      </w:pPr>
      <w:r>
        <w:rPr>
          <w:rFonts w:ascii="Century Gothic" w:hAnsi="Century Gothic"/>
        </w:rPr>
        <w:t>No que toca ao pe</w:t>
      </w:r>
      <w:r w:rsidR="00C87BC8">
        <w:rPr>
          <w:rFonts w:ascii="Century Gothic" w:hAnsi="Century Gothic"/>
        </w:rPr>
        <w:t>ssoal do quadro e dirigentes, 13</w:t>
      </w:r>
      <w:r>
        <w:rPr>
          <w:rFonts w:ascii="Century Gothic" w:hAnsi="Century Gothic"/>
        </w:rPr>
        <w:t xml:space="preserve"> são do sexo masculino e 19 do feminino, estando a prevalência na faixa etária </w:t>
      </w:r>
      <w:r w:rsidR="00A940BD">
        <w:rPr>
          <w:rFonts w:ascii="Century Gothic" w:hAnsi="Century Gothic"/>
        </w:rPr>
        <w:t>dos 45 anos aos 59.</w:t>
      </w:r>
    </w:p>
    <w:p w:rsidR="00A940BD" w:rsidRDefault="00A940BD" w:rsidP="00EF571E">
      <w:pPr>
        <w:pStyle w:val="Cabealho"/>
        <w:jc w:val="both"/>
        <w:rPr>
          <w:rFonts w:ascii="Century Gothic" w:hAnsi="Century Gothic"/>
        </w:rPr>
      </w:pPr>
    </w:p>
    <w:p w:rsidR="00A940BD" w:rsidRDefault="00A940BD" w:rsidP="00EF571E">
      <w:pPr>
        <w:pStyle w:val="Cabealho"/>
        <w:jc w:val="both"/>
        <w:rPr>
          <w:rFonts w:ascii="Century Gothic" w:hAnsi="Century Gothic"/>
        </w:rPr>
      </w:pPr>
      <w:r>
        <w:rPr>
          <w:rFonts w:ascii="Century Gothic" w:hAnsi="Century Gothic"/>
        </w:rPr>
        <w:t>Relativamente ao</w:t>
      </w:r>
      <w:r w:rsidR="00C87BC8">
        <w:rPr>
          <w:rFonts w:ascii="Century Gothic" w:hAnsi="Century Gothic"/>
        </w:rPr>
        <w:t xml:space="preserve"> pessoal em regime de tarefa, 10</w:t>
      </w:r>
      <w:r>
        <w:rPr>
          <w:rFonts w:ascii="Century Gothic" w:hAnsi="Century Gothic"/>
        </w:rPr>
        <w:t xml:space="preserve"> são do sexo feminino e </w:t>
      </w:r>
      <w:r w:rsidR="00C87BC8">
        <w:rPr>
          <w:rFonts w:ascii="Century Gothic" w:hAnsi="Century Gothic"/>
        </w:rPr>
        <w:t>10</w:t>
      </w:r>
      <w:r>
        <w:rPr>
          <w:rFonts w:ascii="Century Gothic" w:hAnsi="Century Gothic"/>
        </w:rPr>
        <w:t xml:space="preserve"> do masculino, com maior incidência na faixa etária </w:t>
      </w:r>
      <w:r w:rsidR="00954FCB">
        <w:rPr>
          <w:rFonts w:ascii="Century Gothic" w:hAnsi="Century Gothic"/>
        </w:rPr>
        <w:t>dos 35 anos aos 49.</w:t>
      </w:r>
    </w:p>
    <w:p w:rsidR="00A10808" w:rsidRDefault="00A10808" w:rsidP="00EF571E">
      <w:pPr>
        <w:pStyle w:val="Cabealho"/>
        <w:jc w:val="both"/>
        <w:rPr>
          <w:rFonts w:ascii="Century Gothic" w:hAnsi="Century Gothic"/>
        </w:rPr>
      </w:pPr>
    </w:p>
    <w:p w:rsidR="00A10808" w:rsidRDefault="00A10808" w:rsidP="00EF571E">
      <w:pPr>
        <w:pStyle w:val="Cabealho"/>
        <w:jc w:val="both"/>
        <w:rPr>
          <w:rFonts w:ascii="Century Gothic" w:hAnsi="Century Gothic"/>
        </w:rPr>
      </w:pPr>
    </w:p>
    <w:p w:rsidR="003B5089" w:rsidRDefault="001879FC" w:rsidP="00EF571E">
      <w:pPr>
        <w:pStyle w:val="Cabealho"/>
        <w:jc w:val="both"/>
        <w:rPr>
          <w:rFonts w:ascii="Century Gothic" w:hAnsi="Century Gothic"/>
        </w:rPr>
      </w:pPr>
      <w:r>
        <w:rPr>
          <w:noProof/>
        </w:rPr>
        <w:drawing>
          <wp:inline distT="0" distB="0" distL="0" distR="0" wp14:anchorId="325DFF9E" wp14:editId="5A067513">
            <wp:extent cx="5040630" cy="4885690"/>
            <wp:effectExtent l="0" t="0" r="762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630" cy="4885690"/>
                    </a:xfrm>
                    <a:prstGeom prst="rect">
                      <a:avLst/>
                    </a:prstGeom>
                  </pic:spPr>
                </pic:pic>
              </a:graphicData>
            </a:graphic>
          </wp:inline>
        </w:drawing>
      </w:r>
    </w:p>
    <w:p w:rsidR="003B5089" w:rsidRDefault="003B5089" w:rsidP="00EF571E">
      <w:pPr>
        <w:pStyle w:val="Cabealho"/>
        <w:jc w:val="both"/>
        <w:rPr>
          <w:rFonts w:ascii="Century Gothic" w:hAnsi="Century Gothic"/>
        </w:rPr>
      </w:pPr>
    </w:p>
    <w:p w:rsidR="00E40D4A" w:rsidRDefault="003B5089" w:rsidP="00EF571E">
      <w:pPr>
        <w:pStyle w:val="Cabealho"/>
        <w:jc w:val="both"/>
        <w:rPr>
          <w:rFonts w:ascii="Century Gothic" w:hAnsi="Century Gothic"/>
        </w:rPr>
      </w:pPr>
      <w:r>
        <w:rPr>
          <w:rFonts w:ascii="Century Gothic" w:hAnsi="Century Gothic"/>
        </w:rPr>
        <w:t>Os ativos fixos tangíveis registaram um acrés</w:t>
      </w:r>
      <w:r w:rsidR="002607C6">
        <w:rPr>
          <w:rFonts w:ascii="Century Gothic" w:hAnsi="Century Gothic"/>
        </w:rPr>
        <w:t>cimo de 78</w:t>
      </w:r>
      <w:r>
        <w:rPr>
          <w:rFonts w:ascii="Century Gothic" w:hAnsi="Century Gothic"/>
        </w:rPr>
        <w:t xml:space="preserve">%. </w:t>
      </w:r>
    </w:p>
    <w:p w:rsidR="00E40D4A" w:rsidRDefault="00E40D4A" w:rsidP="00EF571E">
      <w:pPr>
        <w:pStyle w:val="Cabealho"/>
        <w:jc w:val="both"/>
        <w:rPr>
          <w:rFonts w:ascii="Century Gothic" w:hAnsi="Century Gothic"/>
        </w:rPr>
      </w:pPr>
    </w:p>
    <w:p w:rsidR="00E40D4A" w:rsidRDefault="00E40D4A" w:rsidP="00EF571E">
      <w:pPr>
        <w:pStyle w:val="Cabealho"/>
        <w:jc w:val="both"/>
        <w:rPr>
          <w:rFonts w:ascii="Century Gothic" w:hAnsi="Century Gothic"/>
        </w:rPr>
      </w:pPr>
      <w:r>
        <w:rPr>
          <w:rFonts w:ascii="Century Gothic" w:hAnsi="Century Gothic"/>
        </w:rPr>
        <w:t>O ativo não corrente é composto essencialmente pelos ativos</w:t>
      </w:r>
      <w:r w:rsidR="002607C6">
        <w:rPr>
          <w:rFonts w:ascii="Century Gothic" w:hAnsi="Century Gothic"/>
        </w:rPr>
        <w:t xml:space="preserve"> fixos tangíveis, representam 99</w:t>
      </w:r>
      <w:r>
        <w:rPr>
          <w:rFonts w:ascii="Century Gothic" w:hAnsi="Century Gothic"/>
        </w:rPr>
        <w:t>%.</w:t>
      </w:r>
    </w:p>
    <w:p w:rsidR="00E40D4A" w:rsidRDefault="00E40D4A" w:rsidP="00EF571E">
      <w:pPr>
        <w:pStyle w:val="Cabealho"/>
        <w:jc w:val="both"/>
        <w:rPr>
          <w:rFonts w:ascii="Century Gothic" w:hAnsi="Century Gothic"/>
        </w:rPr>
      </w:pPr>
    </w:p>
    <w:p w:rsidR="00E40D4A" w:rsidRDefault="002607C6" w:rsidP="00EF571E">
      <w:pPr>
        <w:pStyle w:val="Cabealho"/>
        <w:jc w:val="both"/>
        <w:rPr>
          <w:rFonts w:ascii="Century Gothic" w:hAnsi="Century Gothic"/>
        </w:rPr>
      </w:pPr>
      <w:r>
        <w:rPr>
          <w:noProof/>
        </w:rPr>
        <w:lastRenderedPageBreak/>
        <w:drawing>
          <wp:inline distT="0" distB="0" distL="0" distR="0" wp14:anchorId="1AC36282" wp14:editId="7FC2EEE4">
            <wp:extent cx="5000625" cy="3657600"/>
            <wp:effectExtent l="0" t="0" r="952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00625" cy="3657600"/>
                    </a:xfrm>
                    <a:prstGeom prst="rect">
                      <a:avLst/>
                    </a:prstGeom>
                  </pic:spPr>
                </pic:pic>
              </a:graphicData>
            </a:graphic>
          </wp:inline>
        </w:drawing>
      </w:r>
    </w:p>
    <w:p w:rsidR="00E40D4A" w:rsidRDefault="00E40D4A" w:rsidP="00EF571E">
      <w:pPr>
        <w:pStyle w:val="Cabealho"/>
        <w:jc w:val="both"/>
        <w:rPr>
          <w:rFonts w:ascii="Century Gothic" w:hAnsi="Century Gothic"/>
        </w:rPr>
      </w:pPr>
    </w:p>
    <w:p w:rsidR="00B42086" w:rsidRDefault="00B42086" w:rsidP="00EF571E">
      <w:pPr>
        <w:pStyle w:val="Cabealho"/>
        <w:jc w:val="both"/>
        <w:rPr>
          <w:rFonts w:ascii="Century Gothic" w:hAnsi="Century Gothic"/>
        </w:rPr>
      </w:pPr>
    </w:p>
    <w:p w:rsidR="00E40D4A" w:rsidRDefault="00E40D4A" w:rsidP="00E40D4A">
      <w:pPr>
        <w:pStyle w:val="Cabealho"/>
        <w:jc w:val="both"/>
        <w:rPr>
          <w:rFonts w:ascii="Century Gothic" w:hAnsi="Century Gothic"/>
        </w:rPr>
      </w:pPr>
      <w:r>
        <w:rPr>
          <w:rFonts w:ascii="Century Gothic" w:hAnsi="Century Gothic"/>
        </w:rPr>
        <w:t>Caixa e depósitos</w:t>
      </w:r>
      <w:r w:rsidR="002607C6">
        <w:rPr>
          <w:rFonts w:ascii="Century Gothic" w:hAnsi="Century Gothic"/>
        </w:rPr>
        <w:t>, assim como os ativos fixos tangíveis, representam</w:t>
      </w:r>
      <w:r>
        <w:rPr>
          <w:rFonts w:ascii="Century Gothic" w:hAnsi="Century Gothic"/>
        </w:rPr>
        <w:t xml:space="preserve"> a pa</w:t>
      </w:r>
      <w:r w:rsidR="002607C6">
        <w:rPr>
          <w:rFonts w:ascii="Century Gothic" w:hAnsi="Century Gothic"/>
        </w:rPr>
        <w:t>rte mais significativa do ativo. É de referir que no final do ano não tínhamos qualquer valor em caixa, pelo que o montante de 81.041,35€ diz respeito na sua totalidade a</w:t>
      </w:r>
      <w:r>
        <w:rPr>
          <w:rFonts w:ascii="Century Gothic" w:hAnsi="Century Gothic"/>
        </w:rPr>
        <w:t xml:space="preserve"> depósitos. </w:t>
      </w:r>
    </w:p>
    <w:p w:rsidR="00E40D4A" w:rsidRDefault="00E40D4A" w:rsidP="00E40D4A">
      <w:pPr>
        <w:pStyle w:val="Cabealho"/>
        <w:jc w:val="both"/>
        <w:rPr>
          <w:rFonts w:ascii="Century Gothic" w:hAnsi="Century Gothic"/>
        </w:rPr>
      </w:pPr>
    </w:p>
    <w:p w:rsidR="00B42086" w:rsidRDefault="001B6627" w:rsidP="00EF571E">
      <w:pPr>
        <w:pStyle w:val="Cabealho"/>
        <w:jc w:val="both"/>
        <w:rPr>
          <w:rFonts w:ascii="Century Gothic" w:hAnsi="Century Gothic"/>
        </w:rPr>
      </w:pPr>
      <w:r>
        <w:rPr>
          <w:rFonts w:ascii="Century Gothic" w:hAnsi="Century Gothic"/>
        </w:rPr>
        <w:t>Ain</w:t>
      </w:r>
      <w:r w:rsidR="006B780D">
        <w:rPr>
          <w:rFonts w:ascii="Century Gothic" w:hAnsi="Century Gothic"/>
        </w:rPr>
        <w:t>da no ativo, é de referir que deixamos de ter os deferimentos compostos</w:t>
      </w:r>
      <w:r>
        <w:rPr>
          <w:rFonts w:ascii="Century Gothic" w:hAnsi="Century Gothic"/>
        </w:rPr>
        <w:t xml:space="preserve"> pela despesa </w:t>
      </w:r>
      <w:r w:rsidR="00426481">
        <w:rPr>
          <w:rFonts w:ascii="Century Gothic" w:hAnsi="Century Gothic"/>
        </w:rPr>
        <w:t>(paga em 2011</w:t>
      </w:r>
      <w:r w:rsidR="00E95052">
        <w:rPr>
          <w:rFonts w:ascii="Century Gothic" w:hAnsi="Century Gothic"/>
        </w:rPr>
        <w:t>e 2012</w:t>
      </w:r>
      <w:r w:rsidR="00426481">
        <w:rPr>
          <w:rFonts w:ascii="Century Gothic" w:hAnsi="Century Gothic"/>
        </w:rPr>
        <w:t>)</w:t>
      </w:r>
      <w:r>
        <w:rPr>
          <w:rFonts w:ascii="Century Gothic" w:hAnsi="Century Gothic"/>
        </w:rPr>
        <w:t xml:space="preserve"> relacionada com o protocolo com a Junta de Freguesia de Capelas, relativo ao campo de jogos</w:t>
      </w:r>
      <w:r w:rsidR="00426481">
        <w:rPr>
          <w:rFonts w:ascii="Century Gothic" w:hAnsi="Century Gothic"/>
        </w:rPr>
        <w:t>, cujo o gast</w:t>
      </w:r>
      <w:r w:rsidR="006B780D">
        <w:rPr>
          <w:rFonts w:ascii="Century Gothic" w:hAnsi="Century Gothic"/>
        </w:rPr>
        <w:t>o era</w:t>
      </w:r>
      <w:r>
        <w:rPr>
          <w:rFonts w:ascii="Century Gothic" w:hAnsi="Century Gothic"/>
        </w:rPr>
        <w:t xml:space="preserve"> a</w:t>
      </w:r>
      <w:r w:rsidR="00426481">
        <w:rPr>
          <w:rFonts w:ascii="Century Gothic" w:hAnsi="Century Gothic"/>
        </w:rPr>
        <w:t xml:space="preserve">ssociado anualmente, durante o período do protocolo. </w:t>
      </w:r>
      <w:r w:rsidR="006B780D">
        <w:rPr>
          <w:rFonts w:ascii="Century Gothic" w:hAnsi="Century Gothic"/>
        </w:rPr>
        <w:t>Neste contexto, também deixamos de ter a parte respeitante à Receita</w:t>
      </w:r>
      <w:r w:rsidR="00E427A3">
        <w:rPr>
          <w:rFonts w:ascii="Century Gothic" w:hAnsi="Century Gothic"/>
        </w:rPr>
        <w:t>.</w:t>
      </w:r>
      <w:r w:rsidR="006B780D">
        <w:rPr>
          <w:rFonts w:ascii="Century Gothic" w:hAnsi="Century Gothic"/>
        </w:rPr>
        <w:t xml:space="preserve"> Esta decisão do Conselho Administrativo teve por fim adequar as demonstrações financeiras </w:t>
      </w:r>
      <w:r w:rsidR="00A41DF6">
        <w:rPr>
          <w:rFonts w:ascii="Century Gothic" w:hAnsi="Century Gothic"/>
        </w:rPr>
        <w:t>à realidade da</w:t>
      </w:r>
      <w:r w:rsidR="006B780D">
        <w:rPr>
          <w:rFonts w:ascii="Century Gothic" w:hAnsi="Century Gothic"/>
        </w:rPr>
        <w:t xml:space="preserve"> Escola, dado que atualmente não existe</w:t>
      </w:r>
      <w:r w:rsidR="00A41DF6">
        <w:rPr>
          <w:rFonts w:ascii="Century Gothic" w:hAnsi="Century Gothic"/>
        </w:rPr>
        <w:t xml:space="preserve"> praticamente</w:t>
      </w:r>
      <w:r w:rsidR="006B780D">
        <w:rPr>
          <w:rFonts w:ascii="Century Gothic" w:hAnsi="Century Gothic"/>
        </w:rPr>
        <w:t xml:space="preserve"> usufruto deste protocolo e estão a terminar os cursos da tipologia </w:t>
      </w:r>
      <w:proofErr w:type="spellStart"/>
      <w:r w:rsidR="006B780D">
        <w:rPr>
          <w:rFonts w:ascii="Century Gothic" w:hAnsi="Century Gothic"/>
        </w:rPr>
        <w:t>Profij</w:t>
      </w:r>
      <w:proofErr w:type="spellEnd"/>
      <w:r w:rsidR="006B780D">
        <w:rPr>
          <w:rFonts w:ascii="Century Gothic" w:hAnsi="Century Gothic"/>
        </w:rPr>
        <w:t xml:space="preserve"> e Profissional, que têm a disciplina de Educação Física.</w:t>
      </w:r>
    </w:p>
    <w:p w:rsidR="00EB7400" w:rsidRDefault="00EB7400" w:rsidP="00EF571E">
      <w:pPr>
        <w:pStyle w:val="Cabealho"/>
        <w:jc w:val="both"/>
        <w:rPr>
          <w:rFonts w:ascii="Century Gothic" w:hAnsi="Century Gothic"/>
        </w:rPr>
      </w:pPr>
    </w:p>
    <w:p w:rsidR="00EB7400" w:rsidRDefault="009107B4" w:rsidP="00EF571E">
      <w:pPr>
        <w:pStyle w:val="Cabealho"/>
        <w:jc w:val="both"/>
        <w:rPr>
          <w:rFonts w:ascii="Century Gothic" w:hAnsi="Century Gothic"/>
        </w:rPr>
      </w:pPr>
      <w:r>
        <w:rPr>
          <w:rFonts w:ascii="Century Gothic" w:hAnsi="Century Gothic"/>
        </w:rPr>
        <w:t>No que diz respeito ao Património Líquido as alterações cingiram-se à incorporação do</w:t>
      </w:r>
      <w:r w:rsidR="00D969CA">
        <w:rPr>
          <w:rFonts w:ascii="Century Gothic" w:hAnsi="Century Gothic"/>
        </w:rPr>
        <w:t>s resultados transitados de 2021, às doações</w:t>
      </w:r>
      <w:r>
        <w:rPr>
          <w:rFonts w:ascii="Century Gothic" w:hAnsi="Century Gothic"/>
        </w:rPr>
        <w:t xml:space="preserve"> e aos resultados líquidos do período.</w:t>
      </w:r>
    </w:p>
    <w:p w:rsidR="009107B4" w:rsidRDefault="009107B4" w:rsidP="00EF571E">
      <w:pPr>
        <w:pStyle w:val="Cabealho"/>
        <w:jc w:val="both"/>
        <w:rPr>
          <w:rFonts w:ascii="Century Gothic" w:hAnsi="Century Gothic"/>
        </w:rPr>
      </w:pPr>
    </w:p>
    <w:p w:rsidR="00BE4492" w:rsidRDefault="00162BAC" w:rsidP="00EF571E">
      <w:pPr>
        <w:pStyle w:val="Cabealho"/>
        <w:jc w:val="both"/>
        <w:rPr>
          <w:rFonts w:ascii="Century Gothic" w:hAnsi="Century Gothic"/>
        </w:rPr>
      </w:pPr>
      <w:r>
        <w:rPr>
          <w:rFonts w:ascii="Century Gothic" w:hAnsi="Century Gothic"/>
        </w:rPr>
        <w:t>O passivo é composto por retenções a entregar ao Estado e a outras entidades, correspondente às retenções feitas aos colaboradores, respeitantes ao mês de dezembro, a serem entregues em janeiro de 202</w:t>
      </w:r>
      <w:r w:rsidR="00D969CA">
        <w:rPr>
          <w:rFonts w:ascii="Century Gothic" w:hAnsi="Century Gothic"/>
        </w:rPr>
        <w:t>3 (5</w:t>
      </w:r>
      <w:r>
        <w:rPr>
          <w:rFonts w:ascii="Century Gothic" w:hAnsi="Century Gothic"/>
        </w:rPr>
        <w:t>.</w:t>
      </w:r>
      <w:r w:rsidR="00D969CA">
        <w:rPr>
          <w:rFonts w:ascii="Century Gothic" w:hAnsi="Century Gothic"/>
        </w:rPr>
        <w:t>273</w:t>
      </w:r>
      <w:r>
        <w:rPr>
          <w:rFonts w:ascii="Century Gothic" w:hAnsi="Century Gothic"/>
        </w:rPr>
        <w:t>,</w:t>
      </w:r>
      <w:r w:rsidR="00D969CA">
        <w:rPr>
          <w:rFonts w:ascii="Century Gothic" w:hAnsi="Century Gothic"/>
        </w:rPr>
        <w:t>07</w:t>
      </w:r>
      <w:r>
        <w:rPr>
          <w:rFonts w:ascii="Century Gothic" w:hAnsi="Century Gothic"/>
        </w:rPr>
        <w:t>€)</w:t>
      </w:r>
      <w:r w:rsidR="00ED226F">
        <w:rPr>
          <w:rFonts w:ascii="Century Gothic" w:hAnsi="Century Gothic"/>
        </w:rPr>
        <w:t>, e pelo montante respeitante à</w:t>
      </w:r>
      <w:r w:rsidR="00E95052">
        <w:rPr>
          <w:rFonts w:ascii="Century Gothic" w:hAnsi="Century Gothic"/>
        </w:rPr>
        <w:t xml:space="preserve"> especialização do exercício, sendo as</w:t>
      </w:r>
      <w:r w:rsidR="00ED226F">
        <w:rPr>
          <w:rFonts w:ascii="Century Gothic" w:hAnsi="Century Gothic"/>
        </w:rPr>
        <w:t xml:space="preserve"> férias e subsídio de férias 102</w:t>
      </w:r>
      <w:r w:rsidR="00E95052">
        <w:rPr>
          <w:rFonts w:ascii="Century Gothic" w:hAnsi="Century Gothic"/>
        </w:rPr>
        <w:t>.3</w:t>
      </w:r>
      <w:r w:rsidR="00ED226F">
        <w:rPr>
          <w:rFonts w:ascii="Century Gothic" w:hAnsi="Century Gothic"/>
        </w:rPr>
        <w:t>25</w:t>
      </w:r>
      <w:r w:rsidR="00E95052">
        <w:rPr>
          <w:rFonts w:ascii="Century Gothic" w:hAnsi="Century Gothic"/>
        </w:rPr>
        <w:t>,</w:t>
      </w:r>
      <w:r w:rsidR="00ED226F">
        <w:rPr>
          <w:rFonts w:ascii="Century Gothic" w:hAnsi="Century Gothic"/>
        </w:rPr>
        <w:t>2</w:t>
      </w:r>
      <w:r w:rsidR="00E95052">
        <w:rPr>
          <w:rFonts w:ascii="Century Gothic" w:hAnsi="Century Gothic"/>
        </w:rPr>
        <w:t>4€, o restante diz respeito às comunicações, encargos das instalações e encargos da entidade relativamente aos colaboradores</w:t>
      </w:r>
      <w:r w:rsidR="000B3879">
        <w:rPr>
          <w:rFonts w:ascii="Century Gothic" w:hAnsi="Century Gothic"/>
        </w:rPr>
        <w:t xml:space="preserve"> (encargos de d</w:t>
      </w:r>
      <w:r w:rsidR="00ED226F">
        <w:rPr>
          <w:rFonts w:ascii="Century Gothic" w:hAnsi="Century Gothic"/>
        </w:rPr>
        <w:t>ezembro pagos em janeiro de 2023</w:t>
      </w:r>
      <w:r w:rsidR="000B3879">
        <w:rPr>
          <w:rFonts w:ascii="Century Gothic" w:hAnsi="Century Gothic"/>
        </w:rPr>
        <w:t>)</w:t>
      </w:r>
      <w:r w:rsidR="00ED226F">
        <w:rPr>
          <w:rFonts w:ascii="Century Gothic" w:hAnsi="Century Gothic"/>
        </w:rPr>
        <w:t xml:space="preserve">. </w:t>
      </w:r>
    </w:p>
    <w:p w:rsidR="000B3879" w:rsidRDefault="000B3879" w:rsidP="00EF571E">
      <w:pPr>
        <w:pStyle w:val="Cabealho"/>
        <w:jc w:val="both"/>
        <w:rPr>
          <w:rFonts w:ascii="Century Gothic" w:hAnsi="Century Gothic"/>
        </w:rPr>
      </w:pPr>
      <w:bookmarkStart w:id="0" w:name="_GoBack"/>
      <w:bookmarkEnd w:id="0"/>
    </w:p>
    <w:p w:rsidR="00BE4492" w:rsidRDefault="00152245" w:rsidP="00EF571E">
      <w:pPr>
        <w:pStyle w:val="Cabealho"/>
        <w:jc w:val="both"/>
        <w:rPr>
          <w:rFonts w:ascii="Century Gothic" w:hAnsi="Century Gothic"/>
        </w:rPr>
      </w:pPr>
      <w:r>
        <w:rPr>
          <w:noProof/>
        </w:rPr>
        <w:drawing>
          <wp:inline distT="0" distB="0" distL="0" distR="0" wp14:anchorId="4DEEFD46" wp14:editId="671F4142">
            <wp:extent cx="5040630" cy="2806700"/>
            <wp:effectExtent l="0" t="0" r="762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630" cy="2806700"/>
                    </a:xfrm>
                    <a:prstGeom prst="rect">
                      <a:avLst/>
                    </a:prstGeom>
                  </pic:spPr>
                </pic:pic>
              </a:graphicData>
            </a:graphic>
          </wp:inline>
        </w:drawing>
      </w:r>
    </w:p>
    <w:p w:rsidR="00BE4492" w:rsidRDefault="00BE4492" w:rsidP="00EF571E">
      <w:pPr>
        <w:pStyle w:val="Cabealho"/>
        <w:jc w:val="both"/>
        <w:rPr>
          <w:rFonts w:ascii="Century Gothic" w:hAnsi="Century Gothic"/>
        </w:rPr>
      </w:pPr>
    </w:p>
    <w:p w:rsidR="00BE4492" w:rsidRDefault="00BE4492" w:rsidP="00EF571E">
      <w:pPr>
        <w:pStyle w:val="Cabealho"/>
        <w:jc w:val="both"/>
        <w:rPr>
          <w:rFonts w:ascii="Century Gothic" w:hAnsi="Century Gothic"/>
        </w:rPr>
      </w:pPr>
      <w:r>
        <w:rPr>
          <w:rFonts w:ascii="Century Gothic" w:hAnsi="Century Gothic"/>
        </w:rPr>
        <w:t>Os crescimentos mais signifi</w:t>
      </w:r>
      <w:r w:rsidR="00152245">
        <w:rPr>
          <w:rFonts w:ascii="Century Gothic" w:hAnsi="Century Gothic"/>
        </w:rPr>
        <w:t>cativos ocorreram nas vendas (15%), nas</w:t>
      </w:r>
      <w:r>
        <w:rPr>
          <w:rFonts w:ascii="Century Gothic" w:hAnsi="Century Gothic"/>
        </w:rPr>
        <w:t xml:space="preserve"> </w:t>
      </w:r>
      <w:r w:rsidR="00152245">
        <w:rPr>
          <w:rFonts w:ascii="Century Gothic" w:hAnsi="Century Gothic"/>
        </w:rPr>
        <w:t>Transferências e subsídios concedidos (23</w:t>
      </w:r>
      <w:r>
        <w:rPr>
          <w:rFonts w:ascii="Century Gothic" w:hAnsi="Century Gothic"/>
        </w:rPr>
        <w:t>%) e nas amort</w:t>
      </w:r>
      <w:r w:rsidR="00152245">
        <w:rPr>
          <w:rFonts w:ascii="Century Gothic" w:hAnsi="Century Gothic"/>
        </w:rPr>
        <w:t>izações (62</w:t>
      </w:r>
      <w:r>
        <w:rPr>
          <w:rFonts w:ascii="Century Gothic" w:hAnsi="Century Gothic"/>
        </w:rPr>
        <w:t>%).</w:t>
      </w:r>
    </w:p>
    <w:p w:rsidR="00BE4492" w:rsidRDefault="00BE4492" w:rsidP="00EF571E">
      <w:pPr>
        <w:pStyle w:val="Cabealho"/>
        <w:jc w:val="both"/>
        <w:rPr>
          <w:rFonts w:ascii="Century Gothic" w:hAnsi="Century Gothic"/>
        </w:rPr>
      </w:pPr>
    </w:p>
    <w:p w:rsidR="00BE4492" w:rsidRDefault="00152245" w:rsidP="00EF571E">
      <w:pPr>
        <w:pStyle w:val="Cabealho"/>
        <w:jc w:val="both"/>
        <w:rPr>
          <w:rFonts w:ascii="Century Gothic" w:hAnsi="Century Gothic"/>
        </w:rPr>
      </w:pPr>
      <w:r>
        <w:rPr>
          <w:rFonts w:ascii="Century Gothic" w:hAnsi="Century Gothic"/>
        </w:rPr>
        <w:t>O crescimento nas Transferências e subsídios concedidos decorre essencialmente do aumento do número de cursos da tipologia Dual, onde os apoios aos formandos são mais significativos, nomeadamente no que diz respeito à bolsa</w:t>
      </w:r>
      <w:r w:rsidR="00250D0D">
        <w:rPr>
          <w:rFonts w:ascii="Century Gothic" w:hAnsi="Century Gothic"/>
        </w:rPr>
        <w:t xml:space="preserve">. </w:t>
      </w:r>
    </w:p>
    <w:p w:rsidR="00250D0D" w:rsidRDefault="00250D0D" w:rsidP="00EF571E">
      <w:pPr>
        <w:pStyle w:val="Cabealho"/>
        <w:jc w:val="both"/>
        <w:rPr>
          <w:rFonts w:ascii="Century Gothic" w:hAnsi="Century Gothic"/>
        </w:rPr>
      </w:pPr>
    </w:p>
    <w:p w:rsidR="00250D0D" w:rsidRDefault="00250D0D" w:rsidP="00EF571E">
      <w:pPr>
        <w:pStyle w:val="Cabealho"/>
        <w:jc w:val="both"/>
        <w:rPr>
          <w:rFonts w:ascii="Century Gothic" w:hAnsi="Century Gothic"/>
        </w:rPr>
      </w:pPr>
      <w:r>
        <w:rPr>
          <w:rFonts w:ascii="Century Gothic" w:hAnsi="Century Gothic"/>
        </w:rPr>
        <w:t>Em relação às amortizações, este resultado está relacionado com o aumento dos ativos.</w:t>
      </w:r>
    </w:p>
    <w:p w:rsidR="00250D0D" w:rsidRDefault="00250D0D" w:rsidP="00EF571E">
      <w:pPr>
        <w:pStyle w:val="Cabealho"/>
        <w:jc w:val="both"/>
        <w:rPr>
          <w:rFonts w:ascii="Century Gothic" w:hAnsi="Century Gothic"/>
        </w:rPr>
      </w:pPr>
    </w:p>
    <w:p w:rsidR="00250D0D" w:rsidRDefault="00250D0D" w:rsidP="00EF571E">
      <w:pPr>
        <w:pStyle w:val="Cabealho"/>
        <w:jc w:val="both"/>
        <w:rPr>
          <w:rFonts w:ascii="Century Gothic" w:hAnsi="Century Gothic"/>
        </w:rPr>
      </w:pPr>
      <w:r>
        <w:rPr>
          <w:rFonts w:ascii="Century Gothic" w:hAnsi="Century Gothic"/>
        </w:rPr>
        <w:t>É de ressalvar que os gastos com os formadores externos, na perspetiva financeira, são contabilizados nos fornecimentos e serviços externos</w:t>
      </w:r>
      <w:r w:rsidR="00512F4D">
        <w:rPr>
          <w:rFonts w:ascii="Century Gothic" w:hAnsi="Century Gothic"/>
        </w:rPr>
        <w:t>, enquanto que na perspetiva orçamental, estão enquadrados nos pagamentos ao pessoal.</w:t>
      </w:r>
    </w:p>
    <w:p w:rsidR="00512F4D" w:rsidRDefault="00512F4D" w:rsidP="00EF571E">
      <w:pPr>
        <w:pStyle w:val="Cabealho"/>
        <w:jc w:val="both"/>
        <w:rPr>
          <w:rFonts w:ascii="Century Gothic" w:hAnsi="Century Gothic"/>
        </w:rPr>
      </w:pPr>
    </w:p>
    <w:p w:rsidR="00512F4D" w:rsidRDefault="00512F4D" w:rsidP="00EF571E">
      <w:pPr>
        <w:pStyle w:val="Cabealho"/>
        <w:jc w:val="both"/>
        <w:rPr>
          <w:rFonts w:ascii="Century Gothic" w:hAnsi="Century Gothic"/>
        </w:rPr>
      </w:pPr>
      <w:r>
        <w:rPr>
          <w:rFonts w:ascii="Century Gothic" w:hAnsi="Century Gothic"/>
        </w:rPr>
        <w:t xml:space="preserve">O </w:t>
      </w:r>
      <w:r w:rsidR="00152245">
        <w:rPr>
          <w:rFonts w:ascii="Century Gothic" w:hAnsi="Century Gothic"/>
        </w:rPr>
        <w:t>património líquido registou um de</w:t>
      </w:r>
      <w:r w:rsidR="00457945">
        <w:rPr>
          <w:rFonts w:ascii="Century Gothic" w:hAnsi="Century Gothic"/>
        </w:rPr>
        <w:t>créscimo de 141</w:t>
      </w:r>
      <w:r>
        <w:rPr>
          <w:rFonts w:ascii="Century Gothic" w:hAnsi="Century Gothic"/>
        </w:rPr>
        <w:t>.</w:t>
      </w:r>
      <w:r w:rsidR="00457945">
        <w:rPr>
          <w:rFonts w:ascii="Century Gothic" w:hAnsi="Century Gothic"/>
        </w:rPr>
        <w:t>5</w:t>
      </w:r>
      <w:r>
        <w:rPr>
          <w:rFonts w:ascii="Century Gothic" w:hAnsi="Century Gothic"/>
        </w:rPr>
        <w:t>9</w:t>
      </w:r>
      <w:r w:rsidR="00457945">
        <w:rPr>
          <w:rFonts w:ascii="Century Gothic" w:hAnsi="Century Gothic"/>
        </w:rPr>
        <w:t>9</w:t>
      </w:r>
      <w:r>
        <w:rPr>
          <w:rFonts w:ascii="Century Gothic" w:hAnsi="Century Gothic"/>
        </w:rPr>
        <w:t>,4</w:t>
      </w:r>
      <w:r w:rsidR="00457945">
        <w:rPr>
          <w:rFonts w:ascii="Century Gothic" w:hAnsi="Century Gothic"/>
        </w:rPr>
        <w:t>6</w:t>
      </w:r>
      <w:r>
        <w:rPr>
          <w:rFonts w:ascii="Century Gothic" w:hAnsi="Century Gothic"/>
        </w:rPr>
        <w:t>€, fruto do resultado líquido do exercício</w:t>
      </w:r>
      <w:r w:rsidR="00457945">
        <w:rPr>
          <w:rFonts w:ascii="Century Gothic" w:hAnsi="Century Gothic"/>
        </w:rPr>
        <w:t xml:space="preserve"> (negativo), que foi atenuado pela incorporação das doações</w:t>
      </w:r>
      <w:r>
        <w:rPr>
          <w:rFonts w:ascii="Century Gothic" w:hAnsi="Century Gothic"/>
        </w:rPr>
        <w:t>.</w:t>
      </w:r>
    </w:p>
    <w:p w:rsidR="003C1285" w:rsidRDefault="003C1285" w:rsidP="00EF571E">
      <w:pPr>
        <w:pStyle w:val="Cabealho"/>
        <w:jc w:val="both"/>
        <w:rPr>
          <w:rFonts w:ascii="Century Gothic" w:hAnsi="Century Gothic"/>
        </w:rPr>
      </w:pPr>
    </w:p>
    <w:p w:rsidR="003C1285" w:rsidRDefault="003C1285" w:rsidP="00EF571E">
      <w:pPr>
        <w:pStyle w:val="Cabealho"/>
        <w:jc w:val="both"/>
        <w:rPr>
          <w:rFonts w:ascii="Century Gothic" w:hAnsi="Century Gothic"/>
        </w:rPr>
      </w:pPr>
      <w:r>
        <w:rPr>
          <w:rFonts w:ascii="Century Gothic" w:hAnsi="Century Gothic"/>
        </w:rPr>
        <w:t>Relativamente à Demonstração de fluxos de caixa, verifica-se que o seu saldo, no f</w:t>
      </w:r>
      <w:r w:rsidR="00457945">
        <w:rPr>
          <w:rFonts w:ascii="Century Gothic" w:hAnsi="Century Gothic"/>
        </w:rPr>
        <w:t>im do período, corresponde a 81</w:t>
      </w:r>
      <w:r>
        <w:rPr>
          <w:rFonts w:ascii="Century Gothic" w:hAnsi="Century Gothic"/>
        </w:rPr>
        <w:t>.</w:t>
      </w:r>
      <w:r w:rsidR="00457945">
        <w:rPr>
          <w:rFonts w:ascii="Century Gothic" w:hAnsi="Century Gothic"/>
        </w:rPr>
        <w:t>041</w:t>
      </w:r>
      <w:r>
        <w:rPr>
          <w:rFonts w:ascii="Century Gothic" w:hAnsi="Century Gothic"/>
        </w:rPr>
        <w:t>,3</w:t>
      </w:r>
      <w:r w:rsidR="00457945">
        <w:rPr>
          <w:rFonts w:ascii="Century Gothic" w:hAnsi="Century Gothic"/>
        </w:rPr>
        <w:t>5</w:t>
      </w:r>
      <w:r>
        <w:rPr>
          <w:rFonts w:ascii="Century Gothic" w:hAnsi="Century Gothic"/>
        </w:rPr>
        <w:t xml:space="preserve">€, sendo </w:t>
      </w:r>
      <w:r w:rsidR="00457945">
        <w:rPr>
          <w:rFonts w:ascii="Century Gothic" w:hAnsi="Century Gothic"/>
        </w:rPr>
        <w:t>75</w:t>
      </w:r>
      <w:r>
        <w:rPr>
          <w:rFonts w:ascii="Century Gothic" w:hAnsi="Century Gothic"/>
        </w:rPr>
        <w:t>.7</w:t>
      </w:r>
      <w:r w:rsidR="00457945">
        <w:rPr>
          <w:rFonts w:ascii="Century Gothic" w:hAnsi="Century Gothic"/>
        </w:rPr>
        <w:t>68</w:t>
      </w:r>
      <w:r>
        <w:rPr>
          <w:rFonts w:ascii="Century Gothic" w:hAnsi="Century Gothic"/>
        </w:rPr>
        <w:t>,</w:t>
      </w:r>
      <w:r w:rsidR="00457945">
        <w:rPr>
          <w:rFonts w:ascii="Century Gothic" w:hAnsi="Century Gothic"/>
        </w:rPr>
        <w:t>28€ a operações orçamentais e 5</w:t>
      </w:r>
      <w:r>
        <w:rPr>
          <w:rFonts w:ascii="Century Gothic" w:hAnsi="Century Gothic"/>
        </w:rPr>
        <w:t>.</w:t>
      </w:r>
      <w:r w:rsidR="00457945">
        <w:rPr>
          <w:rFonts w:ascii="Century Gothic" w:hAnsi="Century Gothic"/>
        </w:rPr>
        <w:t>273</w:t>
      </w:r>
      <w:r>
        <w:rPr>
          <w:rFonts w:ascii="Century Gothic" w:hAnsi="Century Gothic"/>
        </w:rPr>
        <w:t>,</w:t>
      </w:r>
      <w:r w:rsidR="00457945">
        <w:rPr>
          <w:rFonts w:ascii="Century Gothic" w:hAnsi="Century Gothic"/>
        </w:rPr>
        <w:t>07</w:t>
      </w:r>
      <w:r>
        <w:rPr>
          <w:rFonts w:ascii="Century Gothic" w:hAnsi="Century Gothic"/>
        </w:rPr>
        <w:t>€ a operações de tesouraria, mais precisamente as retenções efetuadas aos colaboradores, respeitantes ao mês de deze</w:t>
      </w:r>
      <w:r w:rsidR="00457945">
        <w:rPr>
          <w:rFonts w:ascii="Century Gothic" w:hAnsi="Century Gothic"/>
        </w:rPr>
        <w:t>mbro, a pagar em janeiro de 2023</w:t>
      </w:r>
      <w:r>
        <w:rPr>
          <w:rFonts w:ascii="Century Gothic" w:hAnsi="Century Gothic"/>
        </w:rPr>
        <w:t>.</w:t>
      </w:r>
    </w:p>
    <w:p w:rsidR="003C1285" w:rsidRDefault="003C1285" w:rsidP="00EF571E">
      <w:pPr>
        <w:pStyle w:val="Cabealho"/>
        <w:jc w:val="both"/>
        <w:rPr>
          <w:rFonts w:ascii="Century Gothic" w:hAnsi="Century Gothic"/>
        </w:rPr>
      </w:pPr>
    </w:p>
    <w:p w:rsidR="00457945" w:rsidRDefault="00457945" w:rsidP="00EF571E">
      <w:pPr>
        <w:pStyle w:val="Cabealho"/>
        <w:jc w:val="both"/>
        <w:rPr>
          <w:rFonts w:ascii="Century Gothic" w:hAnsi="Century Gothic"/>
        </w:rPr>
      </w:pPr>
    </w:p>
    <w:p w:rsidR="00457945" w:rsidRDefault="00457945" w:rsidP="00EF571E">
      <w:pPr>
        <w:pStyle w:val="Cabealho"/>
        <w:jc w:val="both"/>
        <w:rPr>
          <w:rFonts w:ascii="Century Gothic" w:hAnsi="Century Gothic"/>
        </w:rPr>
      </w:pPr>
    </w:p>
    <w:p w:rsidR="00457945" w:rsidRDefault="00457945" w:rsidP="00EF571E">
      <w:pPr>
        <w:pStyle w:val="Cabealho"/>
        <w:jc w:val="both"/>
        <w:rPr>
          <w:rFonts w:ascii="Century Gothic" w:hAnsi="Century Gothic"/>
        </w:rPr>
      </w:pPr>
    </w:p>
    <w:p w:rsidR="00457945" w:rsidRDefault="00457945"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3C1285" w:rsidRDefault="003C1285" w:rsidP="00EF571E">
      <w:pPr>
        <w:pStyle w:val="Cabealho"/>
        <w:jc w:val="both"/>
        <w:rPr>
          <w:rFonts w:ascii="Century Gothic" w:hAnsi="Century Gothic"/>
        </w:rPr>
      </w:pPr>
    </w:p>
    <w:p w:rsidR="00457945" w:rsidRDefault="00457945" w:rsidP="003C1285">
      <w:pPr>
        <w:pStyle w:val="Cabealho"/>
        <w:jc w:val="both"/>
        <w:rPr>
          <w:rFonts w:ascii="Century Gothic" w:hAnsi="Century Gothic"/>
          <w:b/>
        </w:rPr>
      </w:pPr>
    </w:p>
    <w:p w:rsidR="003C1285" w:rsidRDefault="007D5EFB" w:rsidP="003C1285">
      <w:pPr>
        <w:pStyle w:val="Cabealho"/>
        <w:jc w:val="both"/>
        <w:rPr>
          <w:rFonts w:ascii="Century Gothic" w:hAnsi="Century Gothic"/>
          <w:b/>
        </w:rPr>
      </w:pPr>
      <w:r>
        <w:rPr>
          <w:rFonts w:ascii="Century Gothic" w:hAnsi="Century Gothic"/>
          <w:b/>
        </w:rPr>
        <w:t>5</w:t>
      </w:r>
      <w:r w:rsidR="003C1285" w:rsidRPr="00853E06">
        <w:rPr>
          <w:rFonts w:ascii="Century Gothic" w:hAnsi="Century Gothic"/>
          <w:b/>
        </w:rPr>
        <w:t xml:space="preserve"> </w:t>
      </w:r>
      <w:r w:rsidR="003C1285">
        <w:rPr>
          <w:rFonts w:ascii="Century Gothic" w:hAnsi="Century Gothic"/>
          <w:b/>
        </w:rPr>
        <w:t>–</w:t>
      </w:r>
      <w:r w:rsidR="003C1285" w:rsidRPr="00853E06">
        <w:rPr>
          <w:rFonts w:ascii="Century Gothic" w:hAnsi="Century Gothic"/>
          <w:b/>
        </w:rPr>
        <w:t xml:space="preserve"> </w:t>
      </w:r>
      <w:r w:rsidR="003C1285">
        <w:rPr>
          <w:rFonts w:ascii="Century Gothic" w:hAnsi="Century Gothic"/>
          <w:b/>
        </w:rPr>
        <w:t>Demonstrações orçamentais</w:t>
      </w:r>
    </w:p>
    <w:p w:rsidR="009B1D38" w:rsidRDefault="009B1D38" w:rsidP="00EF571E">
      <w:pPr>
        <w:pStyle w:val="Cabealho"/>
        <w:jc w:val="both"/>
        <w:rPr>
          <w:rFonts w:ascii="Century Gothic" w:hAnsi="Century Gothic"/>
        </w:rPr>
      </w:pPr>
    </w:p>
    <w:p w:rsidR="009B1D38" w:rsidRDefault="009B1D38" w:rsidP="00EF571E">
      <w:pPr>
        <w:pStyle w:val="Cabealho"/>
        <w:jc w:val="both"/>
        <w:rPr>
          <w:rFonts w:ascii="Century Gothic" w:hAnsi="Century Gothic"/>
        </w:rPr>
      </w:pPr>
    </w:p>
    <w:p w:rsidR="00457945" w:rsidRDefault="00457945" w:rsidP="00EF571E">
      <w:pPr>
        <w:pStyle w:val="Cabealho"/>
        <w:jc w:val="both"/>
        <w:rPr>
          <w:rFonts w:ascii="Century Gothic" w:hAnsi="Century Gothic"/>
        </w:rPr>
      </w:pPr>
    </w:p>
    <w:p w:rsidR="00457945" w:rsidRDefault="00457945" w:rsidP="00EF571E">
      <w:pPr>
        <w:pStyle w:val="Cabealho"/>
        <w:jc w:val="both"/>
        <w:rPr>
          <w:rFonts w:ascii="Century Gothic" w:hAnsi="Century Gothic"/>
        </w:rPr>
      </w:pPr>
    </w:p>
    <w:p w:rsidR="007C139D" w:rsidRDefault="007C139D" w:rsidP="00EF571E">
      <w:pPr>
        <w:pStyle w:val="Cabealho"/>
        <w:jc w:val="both"/>
        <w:rPr>
          <w:rFonts w:ascii="Century Gothic" w:hAnsi="Century Gothic"/>
        </w:rPr>
      </w:pPr>
      <w:r>
        <w:rPr>
          <w:rFonts w:ascii="Century Gothic" w:hAnsi="Century Gothic"/>
        </w:rPr>
        <w:t>As demonstrações orçamentais apresentadas no presente relatório dizem respeito ao exercício de 2021, mais concretamente ao período de 1 de janeiro de 202</w:t>
      </w:r>
      <w:r w:rsidR="00457945">
        <w:rPr>
          <w:rFonts w:ascii="Century Gothic" w:hAnsi="Century Gothic"/>
        </w:rPr>
        <w:t>2</w:t>
      </w:r>
      <w:r>
        <w:rPr>
          <w:rFonts w:ascii="Century Gothic" w:hAnsi="Century Gothic"/>
        </w:rPr>
        <w:t xml:space="preserve"> a 31 de dezembro do mesmo ano. Foram construídas em harmonia com o Sistema de Normalização Contabilística para as Administrações Públicas (SNC-AP), aprovado pelo Decreto-Lei n.º 192/2015, de 11 de setembro. A sua apresentação assenta nas orientações e na estrutura definidas pela NCP 26 – Contabilid</w:t>
      </w:r>
      <w:r w:rsidR="00DB2F2B">
        <w:rPr>
          <w:rFonts w:ascii="Century Gothic" w:hAnsi="Century Gothic"/>
        </w:rPr>
        <w:t>ade e Relato Orçamental.</w:t>
      </w:r>
    </w:p>
    <w:p w:rsidR="007C139D" w:rsidRDefault="007C139D" w:rsidP="00EF571E">
      <w:pPr>
        <w:pStyle w:val="Cabealho"/>
        <w:jc w:val="both"/>
        <w:rPr>
          <w:rFonts w:ascii="Century Gothic" w:hAnsi="Century Gothic"/>
        </w:rPr>
      </w:pPr>
    </w:p>
    <w:p w:rsidR="003F38D4" w:rsidRDefault="003F38D4">
      <w:pPr>
        <w:widowControl/>
        <w:rPr>
          <w:rFonts w:ascii="Century Gothic" w:hAnsi="Century Gothic"/>
        </w:rPr>
      </w:pPr>
      <w:r>
        <w:rPr>
          <w:rFonts w:ascii="Century Gothic" w:hAnsi="Century Gothic"/>
        </w:rPr>
        <w:br w:type="page"/>
      </w:r>
    </w:p>
    <w:p w:rsidR="003F38D4" w:rsidRDefault="003F38D4" w:rsidP="00EF571E">
      <w:pPr>
        <w:pStyle w:val="Cabealho"/>
        <w:jc w:val="both"/>
        <w:rPr>
          <w:rFonts w:ascii="Century Gothic" w:hAnsi="Century Gothic"/>
        </w:rPr>
        <w:sectPr w:rsidR="003F38D4" w:rsidSect="00C6694C">
          <w:headerReference w:type="default" r:id="rId31"/>
          <w:footerReference w:type="default" r:id="rId32"/>
          <w:pgSz w:w="11906" w:h="16838" w:code="9"/>
          <w:pgMar w:top="1418" w:right="2267" w:bottom="1418" w:left="1701" w:header="720" w:footer="958" w:gutter="0"/>
          <w:pgNumType w:start="0"/>
          <w:cols w:space="720"/>
          <w:titlePg/>
          <w:docGrid w:linePitch="360"/>
        </w:sectPr>
      </w:pPr>
    </w:p>
    <w:p w:rsidR="003C1285" w:rsidRDefault="007C139D" w:rsidP="00EF571E">
      <w:pPr>
        <w:pStyle w:val="Cabealho"/>
        <w:jc w:val="both"/>
        <w:rPr>
          <w:rFonts w:ascii="Century Gothic" w:hAnsi="Century Gothic"/>
          <w:b/>
        </w:rPr>
      </w:pPr>
      <w:r w:rsidRPr="007C139D">
        <w:rPr>
          <w:rFonts w:ascii="Century Gothic" w:hAnsi="Century Gothic"/>
          <w:b/>
        </w:rPr>
        <w:lastRenderedPageBreak/>
        <w:t>5.1</w:t>
      </w:r>
      <w:r>
        <w:rPr>
          <w:rFonts w:ascii="Century Gothic" w:hAnsi="Century Gothic"/>
          <w:b/>
        </w:rPr>
        <w:t xml:space="preserve"> – Demonstração do desempenho orçamental</w:t>
      </w:r>
    </w:p>
    <w:p w:rsidR="007C139D" w:rsidRDefault="007C139D" w:rsidP="00EF571E">
      <w:pPr>
        <w:pStyle w:val="Cabealho"/>
        <w:jc w:val="both"/>
        <w:rPr>
          <w:rFonts w:ascii="Century Gothic" w:hAnsi="Century Gothic"/>
          <w:b/>
        </w:rPr>
      </w:pPr>
    </w:p>
    <w:p w:rsidR="00DB2F2B" w:rsidRDefault="00DB2F2B" w:rsidP="00EF571E">
      <w:pPr>
        <w:pStyle w:val="Cabealho"/>
        <w:jc w:val="both"/>
        <w:rPr>
          <w:rFonts w:ascii="Century Gothic" w:hAnsi="Century Gothic"/>
          <w:b/>
        </w:rPr>
      </w:pPr>
    </w:p>
    <w:p w:rsidR="00DB2F2B" w:rsidRDefault="003B2E64" w:rsidP="00EF571E">
      <w:pPr>
        <w:pStyle w:val="Cabealho"/>
        <w:jc w:val="both"/>
        <w:rPr>
          <w:rFonts w:ascii="Century Gothic" w:hAnsi="Century Gothic"/>
          <w:b/>
        </w:rPr>
      </w:pPr>
      <w:r>
        <w:rPr>
          <w:noProof/>
        </w:rPr>
        <w:drawing>
          <wp:inline distT="0" distB="0" distL="0" distR="0" wp14:anchorId="65FB7AE3" wp14:editId="367EBEAC">
            <wp:extent cx="8877300" cy="3689350"/>
            <wp:effectExtent l="0" t="0" r="0" b="635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77300" cy="3689350"/>
                    </a:xfrm>
                    <a:prstGeom prst="rect">
                      <a:avLst/>
                    </a:prstGeom>
                  </pic:spPr>
                </pic:pic>
              </a:graphicData>
            </a:graphic>
          </wp:inline>
        </w:drawing>
      </w:r>
    </w:p>
    <w:p w:rsidR="007C139D" w:rsidRPr="007C139D" w:rsidRDefault="003B2E64" w:rsidP="00EF571E">
      <w:pPr>
        <w:pStyle w:val="Cabealho"/>
        <w:jc w:val="both"/>
        <w:rPr>
          <w:rFonts w:ascii="Century Gothic" w:hAnsi="Century Gothic"/>
          <w:b/>
        </w:rPr>
      </w:pPr>
      <w:r>
        <w:rPr>
          <w:noProof/>
        </w:rPr>
        <w:lastRenderedPageBreak/>
        <w:drawing>
          <wp:inline distT="0" distB="0" distL="0" distR="0" wp14:anchorId="0AE0F6E0" wp14:editId="0336982A">
            <wp:extent cx="8896350" cy="46863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96350" cy="4686300"/>
                    </a:xfrm>
                    <a:prstGeom prst="rect">
                      <a:avLst/>
                    </a:prstGeom>
                  </pic:spPr>
                </pic:pic>
              </a:graphicData>
            </a:graphic>
          </wp:inline>
        </w:drawing>
      </w:r>
    </w:p>
    <w:p w:rsidR="003B2E64" w:rsidRDefault="003B2E64" w:rsidP="00DB2F2B">
      <w:pPr>
        <w:pStyle w:val="Cabealho"/>
        <w:jc w:val="both"/>
        <w:rPr>
          <w:rFonts w:ascii="Century Gothic" w:hAnsi="Century Gothic"/>
          <w:b/>
        </w:rPr>
      </w:pPr>
    </w:p>
    <w:p w:rsidR="00DB2F2B" w:rsidRDefault="00DB2F2B" w:rsidP="00DB2F2B">
      <w:pPr>
        <w:pStyle w:val="Cabealho"/>
        <w:jc w:val="both"/>
        <w:rPr>
          <w:rFonts w:ascii="Century Gothic" w:hAnsi="Century Gothic"/>
          <w:b/>
        </w:rPr>
      </w:pPr>
      <w:r>
        <w:rPr>
          <w:rFonts w:ascii="Century Gothic" w:hAnsi="Century Gothic"/>
          <w:b/>
        </w:rPr>
        <w:t>5.2 – Demonstração da execução orçamental da receita</w:t>
      </w:r>
    </w:p>
    <w:p w:rsidR="00DB2F2B" w:rsidRDefault="00DB2F2B" w:rsidP="00EF571E">
      <w:pPr>
        <w:pStyle w:val="Cabealho"/>
        <w:jc w:val="both"/>
        <w:rPr>
          <w:rFonts w:ascii="Century Gothic" w:hAnsi="Century Gothic"/>
        </w:rPr>
      </w:pPr>
    </w:p>
    <w:p w:rsidR="00DB2F2B" w:rsidRDefault="003B2E64" w:rsidP="00EF571E">
      <w:pPr>
        <w:pStyle w:val="Cabealho"/>
        <w:jc w:val="both"/>
        <w:rPr>
          <w:rFonts w:ascii="Century Gothic" w:hAnsi="Century Gothic"/>
        </w:rPr>
      </w:pPr>
      <w:r>
        <w:rPr>
          <w:noProof/>
        </w:rPr>
        <w:drawing>
          <wp:inline distT="0" distB="0" distL="0" distR="0" wp14:anchorId="7D39AC0E" wp14:editId="67D55C6C">
            <wp:extent cx="8891270" cy="3615690"/>
            <wp:effectExtent l="0" t="0" r="508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91270" cy="3615690"/>
                    </a:xfrm>
                    <a:prstGeom prst="rect">
                      <a:avLst/>
                    </a:prstGeom>
                  </pic:spPr>
                </pic:pic>
              </a:graphicData>
            </a:graphic>
          </wp:inline>
        </w:drawing>
      </w:r>
    </w:p>
    <w:p w:rsidR="004570CD" w:rsidRDefault="004570CD" w:rsidP="00EF571E">
      <w:pPr>
        <w:pStyle w:val="Cabealho"/>
        <w:jc w:val="both"/>
        <w:rPr>
          <w:rFonts w:ascii="Century Gothic" w:hAnsi="Century Gothic"/>
        </w:rPr>
      </w:pPr>
    </w:p>
    <w:p w:rsidR="004570CD" w:rsidRDefault="004570CD" w:rsidP="004570CD">
      <w:pPr>
        <w:pStyle w:val="Cabealho"/>
        <w:jc w:val="both"/>
        <w:rPr>
          <w:rFonts w:ascii="Century Gothic" w:hAnsi="Century Gothic"/>
          <w:b/>
        </w:rPr>
      </w:pPr>
      <w:r>
        <w:rPr>
          <w:rFonts w:ascii="Century Gothic" w:hAnsi="Century Gothic"/>
          <w:b/>
        </w:rPr>
        <w:lastRenderedPageBreak/>
        <w:t>5.3 – Demonstração da execução orçamental da despesa</w:t>
      </w:r>
    </w:p>
    <w:p w:rsidR="004570CD" w:rsidRDefault="004570CD" w:rsidP="004570CD">
      <w:pPr>
        <w:pStyle w:val="Cabealho"/>
        <w:jc w:val="both"/>
        <w:rPr>
          <w:rFonts w:ascii="Century Gothic" w:hAnsi="Century Gothic"/>
          <w:b/>
        </w:rPr>
      </w:pPr>
    </w:p>
    <w:p w:rsidR="004570CD" w:rsidRDefault="003B2E64" w:rsidP="004570CD">
      <w:pPr>
        <w:pStyle w:val="Cabealho"/>
        <w:jc w:val="both"/>
        <w:rPr>
          <w:rFonts w:ascii="Century Gothic" w:hAnsi="Century Gothic"/>
          <w:b/>
        </w:rPr>
      </w:pPr>
      <w:r>
        <w:rPr>
          <w:noProof/>
        </w:rPr>
        <w:drawing>
          <wp:inline distT="0" distB="0" distL="0" distR="0" wp14:anchorId="62ABB0E1" wp14:editId="48A7A246">
            <wp:extent cx="8661400" cy="3937000"/>
            <wp:effectExtent l="0" t="0" r="6350" b="635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661400" cy="3937000"/>
                    </a:xfrm>
                    <a:prstGeom prst="rect">
                      <a:avLst/>
                    </a:prstGeom>
                  </pic:spPr>
                </pic:pic>
              </a:graphicData>
            </a:graphic>
          </wp:inline>
        </w:drawing>
      </w:r>
    </w:p>
    <w:p w:rsidR="002C75C4" w:rsidRDefault="002C75C4" w:rsidP="004570CD">
      <w:pPr>
        <w:pStyle w:val="Cabealho"/>
        <w:jc w:val="both"/>
        <w:rPr>
          <w:rFonts w:ascii="Century Gothic" w:hAnsi="Century Gothic"/>
          <w:b/>
        </w:rPr>
      </w:pPr>
    </w:p>
    <w:p w:rsidR="002C75C4" w:rsidRDefault="00961654" w:rsidP="004570CD">
      <w:pPr>
        <w:pStyle w:val="Cabealho"/>
        <w:jc w:val="both"/>
        <w:rPr>
          <w:rFonts w:ascii="Century Gothic" w:hAnsi="Century Gothic"/>
          <w:b/>
        </w:rPr>
      </w:pPr>
      <w:r>
        <w:rPr>
          <w:noProof/>
        </w:rPr>
        <w:drawing>
          <wp:inline distT="0" distB="0" distL="0" distR="0" wp14:anchorId="45221C4E" wp14:editId="40CBA403">
            <wp:extent cx="8820150" cy="407670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20150" cy="4076700"/>
                    </a:xfrm>
                    <a:prstGeom prst="rect">
                      <a:avLst/>
                    </a:prstGeom>
                  </pic:spPr>
                </pic:pic>
              </a:graphicData>
            </a:graphic>
          </wp:inline>
        </w:drawing>
      </w:r>
    </w:p>
    <w:p w:rsidR="002C75C4" w:rsidRDefault="002C75C4" w:rsidP="004570CD">
      <w:pPr>
        <w:pStyle w:val="Cabealho"/>
        <w:jc w:val="both"/>
        <w:rPr>
          <w:rFonts w:ascii="Century Gothic" w:hAnsi="Century Gothic"/>
          <w:b/>
        </w:rPr>
      </w:pPr>
    </w:p>
    <w:p w:rsidR="002C75C4" w:rsidRDefault="00961654" w:rsidP="004570CD">
      <w:pPr>
        <w:pStyle w:val="Cabealho"/>
        <w:jc w:val="both"/>
        <w:rPr>
          <w:rFonts w:ascii="Century Gothic" w:hAnsi="Century Gothic"/>
          <w:b/>
        </w:rPr>
      </w:pPr>
      <w:r>
        <w:rPr>
          <w:noProof/>
        </w:rPr>
        <w:drawing>
          <wp:inline distT="0" distB="0" distL="0" distR="0" wp14:anchorId="362DB173" wp14:editId="4DAC9436">
            <wp:extent cx="8832850" cy="3975100"/>
            <wp:effectExtent l="0" t="0" r="6350" b="635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32850" cy="3975100"/>
                    </a:xfrm>
                    <a:prstGeom prst="rect">
                      <a:avLst/>
                    </a:prstGeom>
                  </pic:spPr>
                </pic:pic>
              </a:graphicData>
            </a:graphic>
          </wp:inline>
        </w:drawing>
      </w:r>
    </w:p>
    <w:p w:rsidR="002C75C4" w:rsidRDefault="00992767" w:rsidP="003F4DC3">
      <w:pPr>
        <w:widowControl/>
        <w:rPr>
          <w:rFonts w:ascii="Century Gothic" w:hAnsi="Century Gothic"/>
          <w:b/>
        </w:rPr>
      </w:pPr>
      <w:r>
        <w:rPr>
          <w:rFonts w:ascii="Century Gothic" w:hAnsi="Century Gothic"/>
        </w:rPr>
        <w:br w:type="page"/>
      </w:r>
      <w:r w:rsidR="002C75C4">
        <w:rPr>
          <w:rFonts w:ascii="Century Gothic" w:hAnsi="Century Gothic"/>
          <w:b/>
        </w:rPr>
        <w:lastRenderedPageBreak/>
        <w:t>6 – Anexos às demonstrações orçamentais</w:t>
      </w:r>
    </w:p>
    <w:p w:rsidR="002C75C4" w:rsidRDefault="002C75C4" w:rsidP="002C75C4">
      <w:pPr>
        <w:pStyle w:val="Cabealho"/>
        <w:jc w:val="both"/>
        <w:rPr>
          <w:rFonts w:ascii="Century Gothic" w:hAnsi="Century Gothic"/>
          <w:b/>
        </w:rPr>
      </w:pPr>
    </w:p>
    <w:p w:rsidR="002C75C4" w:rsidRDefault="002C75C4" w:rsidP="002C75C4">
      <w:pPr>
        <w:pStyle w:val="Cabealho"/>
        <w:jc w:val="both"/>
        <w:rPr>
          <w:rFonts w:ascii="Century Gothic" w:hAnsi="Century Gothic"/>
          <w:b/>
        </w:rPr>
      </w:pPr>
    </w:p>
    <w:p w:rsidR="002C75C4" w:rsidRDefault="002C75C4" w:rsidP="002C75C4">
      <w:pPr>
        <w:pStyle w:val="Cabealho"/>
        <w:jc w:val="both"/>
        <w:rPr>
          <w:rFonts w:ascii="Century Gothic" w:hAnsi="Century Gothic"/>
          <w:b/>
        </w:rPr>
      </w:pPr>
      <w:r>
        <w:rPr>
          <w:rFonts w:ascii="Century Gothic" w:hAnsi="Century Gothic"/>
          <w:b/>
        </w:rPr>
        <w:t>6.1 – Alterações orçamentais da receita</w:t>
      </w:r>
    </w:p>
    <w:p w:rsidR="002C75C4" w:rsidRDefault="002C75C4" w:rsidP="002C75C4">
      <w:pPr>
        <w:pStyle w:val="Cabealho"/>
        <w:jc w:val="both"/>
        <w:rPr>
          <w:rFonts w:ascii="Century Gothic" w:hAnsi="Century Gothic"/>
          <w:b/>
        </w:rPr>
      </w:pPr>
    </w:p>
    <w:p w:rsidR="002C75C4" w:rsidRDefault="00961654" w:rsidP="002C75C4">
      <w:pPr>
        <w:pStyle w:val="Cabealho"/>
        <w:jc w:val="both"/>
        <w:rPr>
          <w:rFonts w:ascii="Century Gothic" w:hAnsi="Century Gothic"/>
          <w:b/>
        </w:rPr>
      </w:pPr>
      <w:r>
        <w:rPr>
          <w:noProof/>
        </w:rPr>
        <w:drawing>
          <wp:inline distT="0" distB="0" distL="0" distR="0" wp14:anchorId="7F29D4BE" wp14:editId="09AA2F3F">
            <wp:extent cx="8451850" cy="3486150"/>
            <wp:effectExtent l="0" t="0" r="635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451850" cy="3486150"/>
                    </a:xfrm>
                    <a:prstGeom prst="rect">
                      <a:avLst/>
                    </a:prstGeom>
                  </pic:spPr>
                </pic:pic>
              </a:graphicData>
            </a:graphic>
          </wp:inline>
        </w:drawing>
      </w:r>
    </w:p>
    <w:p w:rsidR="002C75C4" w:rsidRDefault="002C75C4" w:rsidP="002C75C4">
      <w:pPr>
        <w:pStyle w:val="Cabealho"/>
        <w:jc w:val="both"/>
        <w:rPr>
          <w:rFonts w:ascii="Century Gothic" w:hAnsi="Century Gothic"/>
          <w:b/>
        </w:rPr>
      </w:pPr>
    </w:p>
    <w:p w:rsidR="002C75C4" w:rsidRDefault="00492881" w:rsidP="002C75C4">
      <w:pPr>
        <w:pStyle w:val="Cabealho"/>
        <w:jc w:val="both"/>
        <w:rPr>
          <w:rFonts w:ascii="Century Gothic" w:hAnsi="Century Gothic"/>
          <w:b/>
        </w:rPr>
      </w:pPr>
      <w:r>
        <w:rPr>
          <w:noProof/>
        </w:rPr>
        <w:drawing>
          <wp:inline distT="0" distB="0" distL="0" distR="0" wp14:anchorId="2C40DE3D" wp14:editId="67CEAE0C">
            <wp:extent cx="8763000" cy="278130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763000" cy="2781300"/>
                    </a:xfrm>
                    <a:prstGeom prst="rect">
                      <a:avLst/>
                    </a:prstGeom>
                  </pic:spPr>
                </pic:pic>
              </a:graphicData>
            </a:graphic>
          </wp:inline>
        </w:drawing>
      </w:r>
    </w:p>
    <w:p w:rsidR="00FA7D15" w:rsidRDefault="00FA7D15" w:rsidP="002C75C4">
      <w:pPr>
        <w:pStyle w:val="Cabealho"/>
        <w:jc w:val="both"/>
        <w:rPr>
          <w:rFonts w:ascii="Century Gothic" w:hAnsi="Century Gothic"/>
          <w:b/>
        </w:rPr>
      </w:pPr>
    </w:p>
    <w:p w:rsidR="00FA7D15" w:rsidRDefault="00FA7D15" w:rsidP="002C75C4">
      <w:pPr>
        <w:pStyle w:val="Cabealho"/>
        <w:jc w:val="both"/>
        <w:rPr>
          <w:rFonts w:ascii="Century Gothic" w:hAnsi="Century Gothic"/>
        </w:rPr>
      </w:pPr>
      <w:r>
        <w:rPr>
          <w:rFonts w:ascii="Century Gothic" w:hAnsi="Century Gothic"/>
        </w:rPr>
        <w:t>O</w:t>
      </w:r>
      <w:r w:rsidR="006A56E9">
        <w:rPr>
          <w:rFonts w:ascii="Century Gothic" w:hAnsi="Century Gothic"/>
        </w:rPr>
        <w:t>s reforços e anulações têm a haver, essencialmente, com a correção do centro financeiro relacionado com as verbas a receber da Direção Regional da Qualificação Profissional e Emprego</w:t>
      </w:r>
      <w:r>
        <w:rPr>
          <w:rFonts w:ascii="Century Gothic" w:hAnsi="Century Gothic"/>
        </w:rPr>
        <w:t>.</w:t>
      </w:r>
    </w:p>
    <w:p w:rsidR="00FA7D15" w:rsidRPr="00FA7D15" w:rsidRDefault="00FA7D15" w:rsidP="002C75C4">
      <w:pPr>
        <w:pStyle w:val="Cabealho"/>
        <w:jc w:val="both"/>
        <w:rPr>
          <w:rFonts w:ascii="Century Gothic" w:hAnsi="Century Gothic"/>
        </w:rPr>
      </w:pPr>
    </w:p>
    <w:p w:rsidR="00FA7D15" w:rsidRDefault="00FA7D15" w:rsidP="00FA7D15">
      <w:pPr>
        <w:pStyle w:val="Cabealho"/>
        <w:jc w:val="both"/>
        <w:rPr>
          <w:rFonts w:ascii="Century Gothic" w:hAnsi="Century Gothic"/>
          <w:b/>
        </w:rPr>
      </w:pPr>
      <w:r>
        <w:rPr>
          <w:rFonts w:ascii="Century Gothic" w:hAnsi="Century Gothic"/>
          <w:b/>
        </w:rPr>
        <w:t>6.2 – Alterações orçamentais da despesa</w:t>
      </w:r>
    </w:p>
    <w:p w:rsidR="00FA7D15" w:rsidRDefault="00FA7D15" w:rsidP="002C75C4">
      <w:pPr>
        <w:pStyle w:val="Cabealho"/>
        <w:jc w:val="both"/>
        <w:rPr>
          <w:rFonts w:ascii="Century Gothic" w:hAnsi="Century Gothic"/>
          <w:b/>
        </w:rPr>
      </w:pPr>
    </w:p>
    <w:p w:rsidR="006A56E9" w:rsidRDefault="00FA7D15" w:rsidP="006A56E9">
      <w:pPr>
        <w:pStyle w:val="Cabealho"/>
        <w:jc w:val="both"/>
        <w:rPr>
          <w:rFonts w:ascii="Century Gothic" w:hAnsi="Century Gothic"/>
        </w:rPr>
      </w:pPr>
      <w:r>
        <w:rPr>
          <w:rFonts w:ascii="Century Gothic" w:hAnsi="Century Gothic"/>
        </w:rPr>
        <w:t>Para adequação do orçamento à execução orçamental, nomeadamente para ocorrer a despesas inadiáveis, não previsíveis ou insuficientemente dotadas</w:t>
      </w:r>
      <w:r w:rsidR="002F334E">
        <w:rPr>
          <w:rFonts w:ascii="Century Gothic" w:hAnsi="Century Gothic"/>
        </w:rPr>
        <w:t>, foram efetuadas alterações orçamentais.</w:t>
      </w:r>
      <w:r w:rsidR="006A56E9">
        <w:rPr>
          <w:rFonts w:ascii="Century Gothic" w:hAnsi="Century Gothic"/>
        </w:rPr>
        <w:t xml:space="preserve"> Por outro lado, no mesmo contexto do que ocorreu nas receitas, o valor </w:t>
      </w:r>
      <w:r w:rsidR="006A56E9">
        <w:rPr>
          <w:rFonts w:ascii="Century Gothic" w:hAnsi="Century Gothic"/>
        </w:rPr>
        <w:lastRenderedPageBreak/>
        <w:t>mais significativo dos reforços/ anulações têm a haver com a correção do centro financeiro relacionado com as verbas a receber da Direção Regional da Qualificação Profissional e Emprego.</w:t>
      </w:r>
    </w:p>
    <w:p w:rsidR="002C75C4" w:rsidRDefault="002C75C4" w:rsidP="00EF571E">
      <w:pPr>
        <w:pStyle w:val="Cabealho"/>
        <w:jc w:val="both"/>
        <w:rPr>
          <w:rFonts w:ascii="Century Gothic" w:hAnsi="Century Gothic"/>
        </w:rPr>
      </w:pPr>
    </w:p>
    <w:p w:rsidR="002F334E" w:rsidRDefault="00D87BE4" w:rsidP="00EF571E">
      <w:pPr>
        <w:pStyle w:val="Cabealho"/>
        <w:jc w:val="both"/>
        <w:rPr>
          <w:rFonts w:ascii="Century Gothic" w:hAnsi="Century Gothic"/>
        </w:rPr>
      </w:pPr>
      <w:r>
        <w:rPr>
          <w:noProof/>
        </w:rPr>
        <w:drawing>
          <wp:inline distT="0" distB="0" distL="0" distR="0" wp14:anchorId="5696AA67" wp14:editId="0770DB73">
            <wp:extent cx="8705850" cy="37528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705850" cy="3752850"/>
                    </a:xfrm>
                    <a:prstGeom prst="rect">
                      <a:avLst/>
                    </a:prstGeom>
                  </pic:spPr>
                </pic:pic>
              </a:graphicData>
            </a:graphic>
          </wp:inline>
        </w:drawing>
      </w:r>
    </w:p>
    <w:p w:rsidR="002F334E" w:rsidRDefault="00CF31BE" w:rsidP="00EF571E">
      <w:pPr>
        <w:pStyle w:val="Cabealho"/>
        <w:jc w:val="both"/>
        <w:rPr>
          <w:rFonts w:ascii="Century Gothic" w:hAnsi="Century Gothic"/>
        </w:rPr>
      </w:pPr>
      <w:r>
        <w:rPr>
          <w:noProof/>
        </w:rPr>
        <w:lastRenderedPageBreak/>
        <w:drawing>
          <wp:inline distT="0" distB="0" distL="0" distR="0" wp14:anchorId="50748576" wp14:editId="6C78A88F">
            <wp:extent cx="8674100" cy="47053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74100" cy="4705350"/>
                    </a:xfrm>
                    <a:prstGeom prst="rect">
                      <a:avLst/>
                    </a:prstGeom>
                  </pic:spPr>
                </pic:pic>
              </a:graphicData>
            </a:graphic>
          </wp:inline>
        </w:drawing>
      </w:r>
    </w:p>
    <w:p w:rsidR="005E66D2" w:rsidRDefault="00DE25DF" w:rsidP="005E66D2">
      <w:pPr>
        <w:pStyle w:val="Cabealho"/>
        <w:jc w:val="both"/>
        <w:rPr>
          <w:rFonts w:ascii="Century Gothic" w:hAnsi="Century Gothic"/>
          <w:b/>
        </w:rPr>
      </w:pPr>
      <w:r>
        <w:rPr>
          <w:rFonts w:ascii="Century Gothic" w:hAnsi="Century Gothic"/>
          <w:b/>
        </w:rPr>
        <w:lastRenderedPageBreak/>
        <w:t>6.3</w:t>
      </w:r>
      <w:r w:rsidR="00EE2196">
        <w:rPr>
          <w:rFonts w:ascii="Century Gothic" w:hAnsi="Century Gothic"/>
          <w:b/>
        </w:rPr>
        <w:t xml:space="preserve"> – Operações de tesouraria</w:t>
      </w:r>
    </w:p>
    <w:p w:rsidR="00EE2196" w:rsidRDefault="00EE2196" w:rsidP="005E66D2">
      <w:pPr>
        <w:pStyle w:val="Cabealho"/>
        <w:jc w:val="both"/>
        <w:rPr>
          <w:rFonts w:ascii="Century Gothic" w:hAnsi="Century Gothic"/>
          <w:b/>
        </w:rPr>
      </w:pPr>
    </w:p>
    <w:p w:rsidR="00EE2196" w:rsidRDefault="00EE2196" w:rsidP="005E66D2">
      <w:pPr>
        <w:pStyle w:val="Cabealho"/>
        <w:jc w:val="both"/>
        <w:rPr>
          <w:rFonts w:ascii="Century Gothic" w:hAnsi="Century Gothic"/>
        </w:rPr>
      </w:pPr>
      <w:r>
        <w:rPr>
          <w:rFonts w:ascii="Century Gothic" w:hAnsi="Century Gothic"/>
        </w:rPr>
        <w:t xml:space="preserve">As operações de tesouraria abarcam os descontos e as retenções feitos aos colaboradores, designadamente Imposto sobre os Rendimentos, Segurança Social, Caixa Geral de Aposentações, </w:t>
      </w:r>
      <w:r w:rsidR="005007BD">
        <w:rPr>
          <w:rFonts w:ascii="Century Gothic" w:hAnsi="Century Gothic"/>
        </w:rPr>
        <w:t>ADSE, sindicatos e outros.</w:t>
      </w:r>
    </w:p>
    <w:p w:rsidR="005007BD" w:rsidRDefault="005007BD" w:rsidP="005E66D2">
      <w:pPr>
        <w:pStyle w:val="Cabealho"/>
        <w:jc w:val="both"/>
        <w:rPr>
          <w:rFonts w:ascii="Century Gothic" w:hAnsi="Century Gothic"/>
        </w:rPr>
      </w:pPr>
    </w:p>
    <w:p w:rsidR="005007BD" w:rsidRDefault="005007BD" w:rsidP="005E66D2">
      <w:pPr>
        <w:pStyle w:val="Cabealho"/>
        <w:jc w:val="both"/>
        <w:rPr>
          <w:rFonts w:ascii="Century Gothic" w:hAnsi="Century Gothic"/>
        </w:rPr>
      </w:pPr>
      <w:r>
        <w:rPr>
          <w:rFonts w:ascii="Century Gothic" w:hAnsi="Century Gothic"/>
        </w:rPr>
        <w:t>Os saldos inicial e final correspondem aos val</w:t>
      </w:r>
      <w:r w:rsidR="001453E7">
        <w:rPr>
          <w:rFonts w:ascii="Century Gothic" w:hAnsi="Century Gothic"/>
        </w:rPr>
        <w:t>ores retidos em dezembro de 2021</w:t>
      </w:r>
      <w:r>
        <w:rPr>
          <w:rFonts w:ascii="Century Gothic" w:hAnsi="Century Gothic"/>
        </w:rPr>
        <w:t xml:space="preserve"> (</w:t>
      </w:r>
      <w:r w:rsidR="001453E7">
        <w:rPr>
          <w:rFonts w:ascii="Century Gothic" w:hAnsi="Century Gothic"/>
        </w:rPr>
        <w:t>todos os descontos com exceção dos sindicatos e seguradora</w:t>
      </w:r>
      <w:r>
        <w:rPr>
          <w:rFonts w:ascii="Century Gothic" w:hAnsi="Century Gothic"/>
        </w:rPr>
        <w:t>) e 202</w:t>
      </w:r>
      <w:r w:rsidR="001453E7">
        <w:rPr>
          <w:rFonts w:ascii="Century Gothic" w:hAnsi="Century Gothic"/>
        </w:rPr>
        <w:t>2</w:t>
      </w:r>
      <w:r>
        <w:rPr>
          <w:rFonts w:ascii="Century Gothic" w:hAnsi="Century Gothic"/>
        </w:rPr>
        <w:t xml:space="preserve"> (</w:t>
      </w:r>
      <w:r w:rsidR="001453E7">
        <w:rPr>
          <w:rFonts w:ascii="Century Gothic" w:hAnsi="Century Gothic"/>
        </w:rPr>
        <w:t>Segurança Social e Caixa Geral de Aposentações</w:t>
      </w:r>
      <w:r>
        <w:rPr>
          <w:rFonts w:ascii="Century Gothic" w:hAnsi="Century Gothic"/>
        </w:rPr>
        <w:t>) e pagos em janeiro do ano seguinte.</w:t>
      </w:r>
    </w:p>
    <w:p w:rsidR="00DE25DF" w:rsidRDefault="00DE25DF" w:rsidP="005E66D2">
      <w:pPr>
        <w:pStyle w:val="Cabealho"/>
        <w:jc w:val="both"/>
        <w:rPr>
          <w:rFonts w:ascii="Century Gothic" w:hAnsi="Century Gothic"/>
        </w:rPr>
      </w:pPr>
    </w:p>
    <w:p w:rsidR="00DE25DF" w:rsidRDefault="00DE25DF" w:rsidP="005E66D2">
      <w:pPr>
        <w:pStyle w:val="Cabealho"/>
        <w:jc w:val="both"/>
        <w:rPr>
          <w:rFonts w:ascii="Century Gothic" w:hAnsi="Century Gothic"/>
        </w:rPr>
      </w:pPr>
    </w:p>
    <w:p w:rsidR="00DE25DF" w:rsidRPr="00EE2196" w:rsidRDefault="001453E7" w:rsidP="005E66D2">
      <w:pPr>
        <w:pStyle w:val="Cabealho"/>
        <w:jc w:val="both"/>
        <w:rPr>
          <w:rFonts w:ascii="Century Gothic" w:hAnsi="Century Gothic"/>
        </w:rPr>
      </w:pPr>
      <w:r>
        <w:rPr>
          <w:noProof/>
        </w:rPr>
        <w:drawing>
          <wp:inline distT="0" distB="0" distL="0" distR="0" wp14:anchorId="4DE78209" wp14:editId="177E6002">
            <wp:extent cx="8891270" cy="2238375"/>
            <wp:effectExtent l="0" t="0" r="508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91270" cy="2238375"/>
                    </a:xfrm>
                    <a:prstGeom prst="rect">
                      <a:avLst/>
                    </a:prstGeom>
                  </pic:spPr>
                </pic:pic>
              </a:graphicData>
            </a:graphic>
          </wp:inline>
        </w:drawing>
      </w:r>
    </w:p>
    <w:p w:rsidR="005E66D2" w:rsidRDefault="005E66D2" w:rsidP="00EF571E">
      <w:pPr>
        <w:pStyle w:val="Cabealho"/>
        <w:jc w:val="both"/>
        <w:rPr>
          <w:rFonts w:ascii="Century Gothic" w:hAnsi="Century Gothic"/>
        </w:rPr>
      </w:pPr>
    </w:p>
    <w:p w:rsidR="00DE25DF" w:rsidRDefault="00DE25DF" w:rsidP="00EF571E">
      <w:pPr>
        <w:pStyle w:val="Cabealho"/>
        <w:jc w:val="both"/>
        <w:rPr>
          <w:rFonts w:ascii="Century Gothic" w:hAnsi="Century Gothic"/>
        </w:rPr>
      </w:pPr>
    </w:p>
    <w:p w:rsidR="00DE25DF" w:rsidRDefault="00DE25DF" w:rsidP="00EF571E">
      <w:pPr>
        <w:pStyle w:val="Cabealho"/>
        <w:jc w:val="both"/>
        <w:rPr>
          <w:rFonts w:ascii="Century Gothic" w:hAnsi="Century Gothic"/>
        </w:rPr>
      </w:pPr>
    </w:p>
    <w:p w:rsidR="001453E7" w:rsidRDefault="001453E7" w:rsidP="00EF571E">
      <w:pPr>
        <w:pStyle w:val="Cabealho"/>
        <w:jc w:val="both"/>
        <w:rPr>
          <w:rFonts w:ascii="Century Gothic" w:hAnsi="Century Gothic"/>
        </w:rPr>
      </w:pPr>
    </w:p>
    <w:p w:rsidR="00DE25DF" w:rsidRDefault="00DE25DF" w:rsidP="00DE25DF">
      <w:pPr>
        <w:pStyle w:val="Cabealho"/>
        <w:jc w:val="both"/>
        <w:rPr>
          <w:rFonts w:ascii="Century Gothic" w:hAnsi="Century Gothic"/>
          <w:b/>
        </w:rPr>
      </w:pPr>
      <w:r>
        <w:rPr>
          <w:rFonts w:ascii="Century Gothic" w:hAnsi="Century Gothic"/>
          <w:b/>
        </w:rPr>
        <w:lastRenderedPageBreak/>
        <w:t>6.4 – Contratação administrativa – situação dos contratos</w:t>
      </w:r>
    </w:p>
    <w:p w:rsidR="00DE25DF" w:rsidRDefault="00DE25DF" w:rsidP="00EF571E">
      <w:pPr>
        <w:pStyle w:val="Cabealho"/>
        <w:jc w:val="both"/>
        <w:rPr>
          <w:rFonts w:ascii="Century Gothic" w:hAnsi="Century Gothic"/>
        </w:rPr>
      </w:pPr>
    </w:p>
    <w:p w:rsidR="00DE25DF" w:rsidRDefault="00DE25DF" w:rsidP="00EF571E">
      <w:pPr>
        <w:pStyle w:val="Cabealho"/>
        <w:jc w:val="both"/>
        <w:rPr>
          <w:rFonts w:ascii="Century Gothic" w:hAnsi="Century Gothic"/>
        </w:rPr>
      </w:pPr>
      <w:r>
        <w:rPr>
          <w:rFonts w:ascii="Century Gothic" w:hAnsi="Century Gothic"/>
        </w:rPr>
        <w:t>O quadro seguinte apresenta os contratos celebrados no período de relato e em períodos anteriores</w:t>
      </w:r>
      <w:r w:rsidR="00A12A06">
        <w:rPr>
          <w:rFonts w:ascii="Century Gothic" w:hAnsi="Century Gothic"/>
        </w:rPr>
        <w:t>, que foram objeto de execução financeira na presente gerência.</w:t>
      </w:r>
    </w:p>
    <w:p w:rsidR="00A12A06" w:rsidRDefault="00A12A06" w:rsidP="00EF571E">
      <w:pPr>
        <w:pStyle w:val="Cabealho"/>
        <w:jc w:val="both"/>
        <w:rPr>
          <w:rFonts w:ascii="Century Gothic" w:hAnsi="Century Gothic"/>
        </w:rPr>
      </w:pPr>
    </w:p>
    <w:p w:rsidR="00A12A06" w:rsidRDefault="00A12A06" w:rsidP="00EF571E">
      <w:pPr>
        <w:pStyle w:val="Cabealho"/>
        <w:jc w:val="both"/>
        <w:rPr>
          <w:rFonts w:ascii="Century Gothic" w:hAnsi="Century Gothic"/>
        </w:rPr>
      </w:pPr>
      <w:r>
        <w:rPr>
          <w:rFonts w:ascii="Century Gothic" w:hAnsi="Century Gothic"/>
        </w:rPr>
        <w:t xml:space="preserve">Este quadro está diferente do ficheiro </w:t>
      </w:r>
      <w:proofErr w:type="spellStart"/>
      <w:r>
        <w:rPr>
          <w:rFonts w:ascii="Century Gothic" w:hAnsi="Century Gothic"/>
        </w:rPr>
        <w:t>xml</w:t>
      </w:r>
      <w:proofErr w:type="spellEnd"/>
      <w:r>
        <w:rPr>
          <w:rFonts w:ascii="Century Gothic" w:hAnsi="Century Gothic"/>
        </w:rPr>
        <w:t>, gerado no programa GERFIP e carregado na plataforma do Tribunal de Contas</w:t>
      </w:r>
      <w:r w:rsidR="00B95BF6">
        <w:rPr>
          <w:rFonts w:ascii="Century Gothic" w:hAnsi="Century Gothic"/>
        </w:rPr>
        <w:t>, devido ao facto de no programa GERFIP haver alguns pagamentos do contrato com a</w:t>
      </w:r>
      <w:r w:rsidR="001453E7">
        <w:rPr>
          <w:rFonts w:ascii="Century Gothic" w:hAnsi="Century Gothic"/>
        </w:rPr>
        <w:t>s</w:t>
      </w:r>
      <w:r w:rsidR="00B95BF6">
        <w:rPr>
          <w:rFonts w:ascii="Century Gothic" w:hAnsi="Century Gothic"/>
        </w:rPr>
        <w:t xml:space="preserve"> empresa</w:t>
      </w:r>
      <w:r w:rsidR="001453E7">
        <w:rPr>
          <w:rFonts w:ascii="Century Gothic" w:hAnsi="Century Gothic"/>
        </w:rPr>
        <w:t>s</w:t>
      </w:r>
      <w:r w:rsidR="00B95BF6">
        <w:rPr>
          <w:rFonts w:ascii="Century Gothic" w:hAnsi="Century Gothic"/>
        </w:rPr>
        <w:t xml:space="preserve"> Gomes &amp; Santos, </w:t>
      </w:r>
      <w:proofErr w:type="spellStart"/>
      <w:r w:rsidR="00B95BF6">
        <w:rPr>
          <w:rFonts w:ascii="Century Gothic" w:hAnsi="Century Gothic"/>
        </w:rPr>
        <w:t>Lda</w:t>
      </w:r>
      <w:proofErr w:type="spellEnd"/>
      <w:r w:rsidR="001453E7">
        <w:rPr>
          <w:rFonts w:ascii="Century Gothic" w:hAnsi="Century Gothic"/>
        </w:rPr>
        <w:t xml:space="preserve"> e Gotas de Chocolate</w:t>
      </w:r>
      <w:r w:rsidR="00247394">
        <w:rPr>
          <w:rFonts w:ascii="Century Gothic" w:hAnsi="Century Gothic"/>
        </w:rPr>
        <w:t>, Lda.</w:t>
      </w:r>
      <w:r w:rsidR="00B95BF6">
        <w:rPr>
          <w:rFonts w:ascii="Century Gothic" w:hAnsi="Century Gothic"/>
        </w:rPr>
        <w:t xml:space="preserve"> que não estão associados a este contrato. Não sendo possível corrigir em GERFIP, esta situação foi retificada neste mapa que agora apresentamos. </w:t>
      </w:r>
      <w:r w:rsidR="00F154B0">
        <w:rPr>
          <w:rFonts w:ascii="Century Gothic" w:hAnsi="Century Gothic"/>
        </w:rPr>
        <w:t>O único campo que foi objeto de correção foi o da coluna 8 (Trabalhos normais) do</w:t>
      </w:r>
      <w:r w:rsidR="00247394">
        <w:rPr>
          <w:rFonts w:ascii="Century Gothic" w:hAnsi="Century Gothic"/>
        </w:rPr>
        <w:t>s</w:t>
      </w:r>
      <w:r w:rsidR="00F154B0">
        <w:rPr>
          <w:rFonts w:ascii="Century Gothic" w:hAnsi="Century Gothic"/>
        </w:rPr>
        <w:t xml:space="preserve"> contrato</w:t>
      </w:r>
      <w:r w:rsidR="00247394">
        <w:rPr>
          <w:rFonts w:ascii="Century Gothic" w:hAnsi="Century Gothic"/>
        </w:rPr>
        <w:t>s</w:t>
      </w:r>
      <w:r w:rsidR="00F154B0">
        <w:rPr>
          <w:rFonts w:ascii="Century Gothic" w:hAnsi="Century Gothic"/>
        </w:rPr>
        <w:t xml:space="preserve"> da</w:t>
      </w:r>
      <w:r w:rsidR="00247394">
        <w:rPr>
          <w:rFonts w:ascii="Century Gothic" w:hAnsi="Century Gothic"/>
        </w:rPr>
        <w:t>s</w:t>
      </w:r>
      <w:r w:rsidR="00F154B0">
        <w:rPr>
          <w:rFonts w:ascii="Century Gothic" w:hAnsi="Century Gothic"/>
        </w:rPr>
        <w:t xml:space="preserve"> empresa</w:t>
      </w:r>
      <w:r w:rsidR="00247394">
        <w:rPr>
          <w:rFonts w:ascii="Century Gothic" w:hAnsi="Century Gothic"/>
        </w:rPr>
        <w:t>s</w:t>
      </w:r>
      <w:r w:rsidR="00F154B0">
        <w:rPr>
          <w:rFonts w:ascii="Century Gothic" w:hAnsi="Century Gothic"/>
        </w:rPr>
        <w:t xml:space="preserve"> Gomes &amp; Santos, Lda.</w:t>
      </w:r>
      <w:r w:rsidR="00247394">
        <w:rPr>
          <w:rFonts w:ascii="Century Gothic" w:hAnsi="Century Gothic"/>
        </w:rPr>
        <w:t xml:space="preserve"> e Gotas de Chocolate, </w:t>
      </w:r>
      <w:proofErr w:type="gramStart"/>
      <w:r w:rsidR="00247394">
        <w:rPr>
          <w:rFonts w:ascii="Century Gothic" w:hAnsi="Century Gothic"/>
        </w:rPr>
        <w:t>Lda.</w:t>
      </w:r>
      <w:r w:rsidR="00F154B0">
        <w:rPr>
          <w:rFonts w:ascii="Century Gothic" w:hAnsi="Century Gothic"/>
        </w:rPr>
        <w:t>.</w:t>
      </w:r>
      <w:proofErr w:type="gramEnd"/>
    </w:p>
    <w:p w:rsidR="00A12A06" w:rsidRDefault="00A12A06" w:rsidP="00EF571E">
      <w:pPr>
        <w:pStyle w:val="Cabealho"/>
        <w:jc w:val="both"/>
        <w:rPr>
          <w:rFonts w:ascii="Century Gothic" w:hAnsi="Century Gothic"/>
        </w:rPr>
      </w:pPr>
    </w:p>
    <w:p w:rsidR="00A12A06" w:rsidRDefault="00247394" w:rsidP="00EF571E">
      <w:pPr>
        <w:pStyle w:val="Cabealho"/>
        <w:jc w:val="both"/>
        <w:rPr>
          <w:rFonts w:ascii="Century Gothic" w:hAnsi="Century Gothic"/>
        </w:rPr>
      </w:pPr>
      <w:r>
        <w:rPr>
          <w:noProof/>
        </w:rPr>
        <w:drawing>
          <wp:inline distT="0" distB="0" distL="0" distR="0" wp14:anchorId="4A8DCCB7" wp14:editId="19BA0772">
            <wp:extent cx="8891270" cy="2565400"/>
            <wp:effectExtent l="0" t="0" r="508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91270" cy="2565400"/>
                    </a:xfrm>
                    <a:prstGeom prst="rect">
                      <a:avLst/>
                    </a:prstGeom>
                  </pic:spPr>
                </pic:pic>
              </a:graphicData>
            </a:graphic>
          </wp:inline>
        </w:drawing>
      </w:r>
    </w:p>
    <w:p w:rsidR="00F154B0" w:rsidRDefault="00F154B0" w:rsidP="00F154B0">
      <w:pPr>
        <w:pStyle w:val="Cabealho"/>
        <w:jc w:val="both"/>
        <w:rPr>
          <w:rFonts w:ascii="Century Gothic" w:hAnsi="Century Gothic"/>
          <w:b/>
        </w:rPr>
      </w:pPr>
      <w:r>
        <w:rPr>
          <w:rFonts w:ascii="Century Gothic" w:hAnsi="Century Gothic"/>
          <w:b/>
        </w:rPr>
        <w:lastRenderedPageBreak/>
        <w:t>6.5 – Contratação administrativa – adjudicação por tipo de procedimento</w:t>
      </w:r>
    </w:p>
    <w:p w:rsidR="00A12A06" w:rsidRDefault="00A12A06" w:rsidP="00EF571E">
      <w:pPr>
        <w:pStyle w:val="Cabealho"/>
        <w:jc w:val="both"/>
        <w:rPr>
          <w:rFonts w:ascii="Century Gothic" w:hAnsi="Century Gothic"/>
        </w:rPr>
      </w:pPr>
    </w:p>
    <w:p w:rsidR="00F154B0" w:rsidRDefault="00F154B0" w:rsidP="00EF571E">
      <w:pPr>
        <w:pStyle w:val="Cabealho"/>
        <w:jc w:val="both"/>
        <w:rPr>
          <w:rFonts w:ascii="Century Gothic" w:hAnsi="Century Gothic"/>
        </w:rPr>
      </w:pPr>
      <w:r>
        <w:rPr>
          <w:rFonts w:ascii="Century Gothic" w:hAnsi="Century Gothic"/>
        </w:rPr>
        <w:t>Todos os contratos celebrados em 2021 foram por ajuste direto.</w:t>
      </w:r>
    </w:p>
    <w:p w:rsidR="00F154B0" w:rsidRDefault="00F154B0" w:rsidP="00EF571E">
      <w:pPr>
        <w:pStyle w:val="Cabealho"/>
        <w:jc w:val="both"/>
        <w:rPr>
          <w:rFonts w:ascii="Century Gothic" w:hAnsi="Century Gothic"/>
        </w:rPr>
      </w:pPr>
    </w:p>
    <w:p w:rsidR="00F154B0" w:rsidRDefault="00F154B0" w:rsidP="00EF571E">
      <w:pPr>
        <w:pStyle w:val="Cabealho"/>
        <w:jc w:val="both"/>
        <w:rPr>
          <w:rFonts w:ascii="Century Gothic" w:hAnsi="Century Gothic"/>
        </w:rPr>
      </w:pPr>
    </w:p>
    <w:p w:rsidR="00F154B0" w:rsidRDefault="00247394" w:rsidP="00EF571E">
      <w:pPr>
        <w:pStyle w:val="Cabealho"/>
        <w:jc w:val="both"/>
        <w:rPr>
          <w:rFonts w:ascii="Century Gothic" w:hAnsi="Century Gothic"/>
        </w:rPr>
      </w:pPr>
      <w:r>
        <w:rPr>
          <w:noProof/>
        </w:rPr>
        <w:drawing>
          <wp:inline distT="0" distB="0" distL="0" distR="0" wp14:anchorId="5EFAF2E7" wp14:editId="5F7040A5">
            <wp:extent cx="8891270" cy="2045335"/>
            <wp:effectExtent l="0" t="0" r="508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91270" cy="2045335"/>
                    </a:xfrm>
                    <a:prstGeom prst="rect">
                      <a:avLst/>
                    </a:prstGeom>
                  </pic:spPr>
                </pic:pic>
              </a:graphicData>
            </a:graphic>
          </wp:inline>
        </w:drawing>
      </w:r>
    </w:p>
    <w:p w:rsidR="00C449E4" w:rsidRDefault="00C449E4" w:rsidP="00EF571E">
      <w:pPr>
        <w:pStyle w:val="Cabealho"/>
        <w:jc w:val="both"/>
        <w:rPr>
          <w:rFonts w:ascii="Century Gothic" w:hAnsi="Century Gothic"/>
        </w:rPr>
      </w:pPr>
    </w:p>
    <w:p w:rsidR="00C449E4" w:rsidRDefault="00C449E4" w:rsidP="00EF571E">
      <w:pPr>
        <w:pStyle w:val="Cabealho"/>
        <w:jc w:val="both"/>
        <w:rPr>
          <w:rFonts w:ascii="Century Gothic" w:hAnsi="Century Gothic"/>
        </w:rPr>
      </w:pPr>
    </w:p>
    <w:p w:rsidR="00C449E4" w:rsidRDefault="00C449E4" w:rsidP="00C449E4">
      <w:pPr>
        <w:pStyle w:val="Cabealho"/>
        <w:jc w:val="both"/>
        <w:rPr>
          <w:rFonts w:ascii="Century Gothic" w:hAnsi="Century Gothic"/>
          <w:b/>
        </w:rPr>
      </w:pPr>
      <w:r>
        <w:rPr>
          <w:rFonts w:ascii="Century Gothic" w:hAnsi="Century Gothic"/>
          <w:b/>
        </w:rPr>
        <w:t xml:space="preserve">6.6 – </w:t>
      </w:r>
      <w:proofErr w:type="gramStart"/>
      <w:r>
        <w:rPr>
          <w:rFonts w:ascii="Century Gothic" w:hAnsi="Century Gothic"/>
          <w:b/>
        </w:rPr>
        <w:t>Transferências e subsídios</w:t>
      </w:r>
      <w:proofErr w:type="gramEnd"/>
      <w:r>
        <w:rPr>
          <w:rFonts w:ascii="Century Gothic" w:hAnsi="Century Gothic"/>
          <w:b/>
        </w:rPr>
        <w:t xml:space="preserve"> – receita</w:t>
      </w:r>
    </w:p>
    <w:p w:rsidR="00C449E4" w:rsidRDefault="00C449E4" w:rsidP="00EF571E">
      <w:pPr>
        <w:pStyle w:val="Cabealho"/>
        <w:jc w:val="both"/>
        <w:rPr>
          <w:rFonts w:ascii="Century Gothic" w:hAnsi="Century Gothic"/>
        </w:rPr>
      </w:pPr>
    </w:p>
    <w:p w:rsidR="00C449E4" w:rsidRDefault="007618EC" w:rsidP="00EF571E">
      <w:pPr>
        <w:pStyle w:val="Cabealho"/>
        <w:jc w:val="both"/>
        <w:rPr>
          <w:rFonts w:ascii="Century Gothic" w:hAnsi="Century Gothic"/>
        </w:rPr>
      </w:pPr>
      <w:r>
        <w:rPr>
          <w:rFonts w:ascii="Century Gothic" w:hAnsi="Century Gothic"/>
        </w:rPr>
        <w:t xml:space="preserve">As transferências da Direção Regional da </w:t>
      </w:r>
      <w:r w:rsidR="00247394">
        <w:rPr>
          <w:rFonts w:ascii="Century Gothic" w:hAnsi="Century Gothic"/>
        </w:rPr>
        <w:t xml:space="preserve">Educação e </w:t>
      </w:r>
      <w:r>
        <w:rPr>
          <w:rFonts w:ascii="Century Gothic" w:hAnsi="Century Gothic"/>
        </w:rPr>
        <w:t>Administração Educativa (DR</w:t>
      </w:r>
      <w:r w:rsidR="00247394">
        <w:rPr>
          <w:rFonts w:ascii="Century Gothic" w:hAnsi="Century Gothic"/>
        </w:rPr>
        <w:t>E</w:t>
      </w:r>
      <w:r>
        <w:rPr>
          <w:rFonts w:ascii="Century Gothic" w:hAnsi="Century Gothic"/>
        </w:rPr>
        <w:t>AE</w:t>
      </w:r>
      <w:r w:rsidR="006C1EFE">
        <w:rPr>
          <w:rFonts w:ascii="Century Gothic" w:hAnsi="Century Gothic"/>
        </w:rPr>
        <w:t>) são as mais significativas (74</w:t>
      </w:r>
      <w:r>
        <w:rPr>
          <w:rFonts w:ascii="Century Gothic" w:hAnsi="Century Gothic"/>
        </w:rPr>
        <w:t>%), seguindo-se as da Direção Regional da Qualificação Profissional e Emprego (DRQPE), relat</w:t>
      </w:r>
      <w:r w:rsidR="006C1EFE">
        <w:rPr>
          <w:rFonts w:ascii="Century Gothic" w:hAnsi="Century Gothic"/>
        </w:rPr>
        <w:t>ivas ao Fundo Social Europeu (26</w:t>
      </w:r>
      <w:r>
        <w:rPr>
          <w:rFonts w:ascii="Century Gothic" w:hAnsi="Century Gothic"/>
        </w:rPr>
        <w:t>%).</w:t>
      </w:r>
    </w:p>
    <w:p w:rsidR="007618EC" w:rsidRDefault="007618EC" w:rsidP="00EF571E">
      <w:pPr>
        <w:pStyle w:val="Cabealho"/>
        <w:jc w:val="both"/>
        <w:rPr>
          <w:rFonts w:ascii="Century Gothic" w:hAnsi="Century Gothic"/>
        </w:rPr>
      </w:pPr>
    </w:p>
    <w:p w:rsidR="007618EC" w:rsidRDefault="006C1EFE" w:rsidP="007618EC">
      <w:pPr>
        <w:pStyle w:val="Cabealho"/>
        <w:jc w:val="center"/>
        <w:rPr>
          <w:rFonts w:ascii="Century Gothic" w:hAnsi="Century Gothic"/>
        </w:rPr>
      </w:pPr>
      <w:r>
        <w:rPr>
          <w:noProof/>
        </w:rPr>
        <w:lastRenderedPageBreak/>
        <w:drawing>
          <wp:inline distT="0" distB="0" distL="0" distR="0" wp14:anchorId="63D4FCEA" wp14:editId="718B1DCC">
            <wp:extent cx="4762500" cy="307657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62500" cy="3076575"/>
                    </a:xfrm>
                    <a:prstGeom prst="rect">
                      <a:avLst/>
                    </a:prstGeom>
                  </pic:spPr>
                </pic:pic>
              </a:graphicData>
            </a:graphic>
          </wp:inline>
        </w:drawing>
      </w:r>
    </w:p>
    <w:p w:rsidR="007618EC" w:rsidRDefault="007618EC" w:rsidP="007618EC">
      <w:pPr>
        <w:pStyle w:val="Cabealho"/>
        <w:jc w:val="center"/>
        <w:rPr>
          <w:rFonts w:ascii="Century Gothic" w:hAnsi="Century Gothic"/>
        </w:rPr>
      </w:pPr>
    </w:p>
    <w:p w:rsidR="007618EC" w:rsidRDefault="007618EC" w:rsidP="007618EC">
      <w:pPr>
        <w:pStyle w:val="Cabealho"/>
        <w:jc w:val="center"/>
        <w:rPr>
          <w:rFonts w:ascii="Century Gothic" w:hAnsi="Century Gothic"/>
        </w:rPr>
      </w:pPr>
    </w:p>
    <w:p w:rsidR="007350BE" w:rsidRDefault="007350BE" w:rsidP="007350BE">
      <w:pPr>
        <w:pStyle w:val="Cabealho"/>
        <w:jc w:val="both"/>
        <w:rPr>
          <w:rFonts w:ascii="Century Gothic" w:hAnsi="Century Gothic"/>
        </w:rPr>
      </w:pPr>
      <w:r>
        <w:rPr>
          <w:rFonts w:ascii="Century Gothic" w:hAnsi="Century Gothic"/>
        </w:rPr>
        <w:t>No quadro seguinte</w:t>
      </w:r>
      <w:r w:rsidR="002710C6">
        <w:rPr>
          <w:rFonts w:ascii="Century Gothic" w:hAnsi="Century Gothic"/>
        </w:rPr>
        <w:t>, nas disposições legais,</w:t>
      </w:r>
      <w:r>
        <w:rPr>
          <w:rFonts w:ascii="Century Gothic" w:hAnsi="Century Gothic"/>
        </w:rPr>
        <w:t xml:space="preserve"> em vez de DL deverá ler-se DLR, com exceção do 13/14A que é DRR.</w:t>
      </w:r>
    </w:p>
    <w:p w:rsidR="007618EC" w:rsidRDefault="006C1EFE" w:rsidP="007618EC">
      <w:pPr>
        <w:pStyle w:val="Cabealho"/>
        <w:jc w:val="center"/>
        <w:rPr>
          <w:rFonts w:ascii="Century Gothic" w:hAnsi="Century Gothic"/>
        </w:rPr>
      </w:pPr>
      <w:r>
        <w:rPr>
          <w:noProof/>
        </w:rPr>
        <w:lastRenderedPageBreak/>
        <w:drawing>
          <wp:inline distT="0" distB="0" distL="0" distR="0" wp14:anchorId="5BD58BE8" wp14:editId="10F98194">
            <wp:extent cx="7448550" cy="425767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448550" cy="4257675"/>
                    </a:xfrm>
                    <a:prstGeom prst="rect">
                      <a:avLst/>
                    </a:prstGeom>
                  </pic:spPr>
                </pic:pic>
              </a:graphicData>
            </a:graphic>
          </wp:inline>
        </w:drawing>
      </w:r>
    </w:p>
    <w:p w:rsidR="007618EC" w:rsidRDefault="007618EC" w:rsidP="007618EC">
      <w:pPr>
        <w:pStyle w:val="Cabealho"/>
        <w:jc w:val="both"/>
        <w:rPr>
          <w:rFonts w:ascii="Century Gothic" w:hAnsi="Century Gothic"/>
          <w:b/>
        </w:rPr>
      </w:pPr>
      <w:r>
        <w:rPr>
          <w:rFonts w:ascii="Century Gothic" w:hAnsi="Century Gothic"/>
          <w:b/>
        </w:rPr>
        <w:lastRenderedPageBreak/>
        <w:t xml:space="preserve">6.7 – </w:t>
      </w:r>
      <w:proofErr w:type="gramStart"/>
      <w:r>
        <w:rPr>
          <w:rFonts w:ascii="Century Gothic" w:hAnsi="Century Gothic"/>
          <w:b/>
        </w:rPr>
        <w:t>Transferências e subsídios</w:t>
      </w:r>
      <w:proofErr w:type="gramEnd"/>
      <w:r>
        <w:rPr>
          <w:rFonts w:ascii="Century Gothic" w:hAnsi="Century Gothic"/>
          <w:b/>
        </w:rPr>
        <w:t xml:space="preserve"> – </w:t>
      </w:r>
      <w:r w:rsidR="00D10BD2">
        <w:rPr>
          <w:rFonts w:ascii="Century Gothic" w:hAnsi="Century Gothic"/>
          <w:b/>
        </w:rPr>
        <w:t>despesa</w:t>
      </w:r>
    </w:p>
    <w:p w:rsidR="007618EC" w:rsidRDefault="007618EC" w:rsidP="007618EC">
      <w:pPr>
        <w:pStyle w:val="Cabealho"/>
        <w:rPr>
          <w:rFonts w:ascii="Century Gothic" w:hAnsi="Century Gothic"/>
        </w:rPr>
      </w:pPr>
    </w:p>
    <w:p w:rsidR="00E037B8" w:rsidRDefault="002710C6" w:rsidP="007618EC">
      <w:pPr>
        <w:pStyle w:val="Cabealho"/>
        <w:rPr>
          <w:rFonts w:ascii="Century Gothic" w:hAnsi="Century Gothic"/>
        </w:rPr>
      </w:pPr>
      <w:r>
        <w:rPr>
          <w:rFonts w:ascii="Century Gothic" w:hAnsi="Century Gothic"/>
        </w:rPr>
        <w:t>As transferências e subsídios concedidos consubstanciaram-se aos encargos com os Programas Ocupacionais e aos apoios aos formandos.</w:t>
      </w:r>
    </w:p>
    <w:p w:rsidR="003F74AF" w:rsidRDefault="003F74AF" w:rsidP="007618EC">
      <w:pPr>
        <w:pStyle w:val="Cabealho"/>
        <w:rPr>
          <w:rFonts w:ascii="Century Gothic" w:hAnsi="Century Gothic"/>
        </w:rPr>
      </w:pPr>
      <w:r>
        <w:rPr>
          <w:rFonts w:ascii="Century Gothic" w:hAnsi="Century Gothic"/>
        </w:rPr>
        <w:t xml:space="preserve">De uma forma mais detalhada, informamos sobre os subsídios concedidos (apoios aos formandos), no separador “Outros Documentos”, da plataforma do Tribunal de Contas. </w:t>
      </w:r>
    </w:p>
    <w:p w:rsidR="002710C6" w:rsidRDefault="002710C6" w:rsidP="007618EC">
      <w:pPr>
        <w:pStyle w:val="Cabealho"/>
        <w:rPr>
          <w:rFonts w:ascii="Century Gothic" w:hAnsi="Century Gothic"/>
        </w:rPr>
      </w:pPr>
    </w:p>
    <w:p w:rsidR="002710C6" w:rsidRDefault="002710C6" w:rsidP="007618EC">
      <w:pPr>
        <w:pStyle w:val="Cabealho"/>
        <w:rPr>
          <w:rFonts w:ascii="Century Gothic" w:hAnsi="Century Gothic"/>
        </w:rPr>
      </w:pPr>
      <w:r>
        <w:rPr>
          <w:rFonts w:ascii="Century Gothic" w:hAnsi="Century Gothic"/>
        </w:rPr>
        <w:t>No quadro seguinte, nas disposições legais, em vez de DL 09/08A deverá ler-se DRR 09/08A.</w:t>
      </w:r>
    </w:p>
    <w:p w:rsidR="003F74AF" w:rsidRDefault="003F74AF" w:rsidP="007618EC">
      <w:pPr>
        <w:pStyle w:val="Cabealho"/>
        <w:rPr>
          <w:rFonts w:ascii="Century Gothic" w:hAnsi="Century Gothic"/>
        </w:rPr>
      </w:pPr>
    </w:p>
    <w:p w:rsidR="003F74AF" w:rsidRDefault="003F74AF" w:rsidP="007618EC">
      <w:pPr>
        <w:pStyle w:val="Cabealho"/>
        <w:rPr>
          <w:rFonts w:ascii="Century Gothic" w:hAnsi="Century Gothic"/>
        </w:rPr>
      </w:pPr>
    </w:p>
    <w:p w:rsidR="003F74AF" w:rsidRDefault="00BA1DB5" w:rsidP="007618EC">
      <w:pPr>
        <w:pStyle w:val="Cabealho"/>
        <w:rPr>
          <w:rFonts w:ascii="Century Gothic" w:hAnsi="Century Gothic"/>
        </w:rPr>
      </w:pPr>
      <w:r>
        <w:rPr>
          <w:noProof/>
        </w:rPr>
        <w:drawing>
          <wp:inline distT="0" distB="0" distL="0" distR="0" wp14:anchorId="4B662E21" wp14:editId="78CCCD15">
            <wp:extent cx="7439025" cy="238125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439025" cy="2381250"/>
                    </a:xfrm>
                    <a:prstGeom prst="rect">
                      <a:avLst/>
                    </a:prstGeom>
                  </pic:spPr>
                </pic:pic>
              </a:graphicData>
            </a:graphic>
          </wp:inline>
        </w:drawing>
      </w:r>
    </w:p>
    <w:p w:rsidR="003E7D9F" w:rsidRDefault="003E7D9F" w:rsidP="007618EC">
      <w:pPr>
        <w:pStyle w:val="Cabealho"/>
        <w:rPr>
          <w:rFonts w:ascii="Century Gothic" w:hAnsi="Century Gothic"/>
        </w:rPr>
      </w:pPr>
    </w:p>
    <w:p w:rsidR="003F74AF" w:rsidRDefault="003E7D9F" w:rsidP="007618EC">
      <w:pPr>
        <w:pStyle w:val="Cabealho"/>
        <w:rPr>
          <w:rFonts w:ascii="Century Gothic" w:hAnsi="Century Gothic"/>
        </w:rPr>
      </w:pPr>
      <w:r>
        <w:rPr>
          <w:noProof/>
        </w:rPr>
        <w:drawing>
          <wp:inline distT="0" distB="0" distL="0" distR="0" wp14:anchorId="7943E079" wp14:editId="03E8D560">
            <wp:extent cx="7429500" cy="1905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429500" cy="190500"/>
                    </a:xfrm>
                    <a:prstGeom prst="rect">
                      <a:avLst/>
                    </a:prstGeom>
                  </pic:spPr>
                </pic:pic>
              </a:graphicData>
            </a:graphic>
          </wp:inline>
        </w:drawing>
      </w:r>
    </w:p>
    <w:p w:rsidR="006A02AE" w:rsidRDefault="006A02AE" w:rsidP="00AB6464">
      <w:pPr>
        <w:pStyle w:val="Cabealho"/>
        <w:jc w:val="both"/>
        <w:rPr>
          <w:rFonts w:ascii="Century Gothic" w:hAnsi="Century Gothic"/>
          <w:b/>
        </w:rPr>
      </w:pPr>
    </w:p>
    <w:p w:rsidR="00AB6464" w:rsidRDefault="00AB6464" w:rsidP="00AB6464">
      <w:pPr>
        <w:pStyle w:val="Cabealho"/>
        <w:jc w:val="both"/>
        <w:rPr>
          <w:rFonts w:ascii="Century Gothic" w:hAnsi="Century Gothic"/>
          <w:b/>
        </w:rPr>
      </w:pPr>
      <w:r>
        <w:rPr>
          <w:rFonts w:ascii="Century Gothic" w:hAnsi="Century Gothic"/>
          <w:b/>
        </w:rPr>
        <w:lastRenderedPageBreak/>
        <w:t>6.8 – Encargos contratuais</w:t>
      </w:r>
    </w:p>
    <w:p w:rsidR="003F74AF" w:rsidRDefault="003F74AF" w:rsidP="007618EC">
      <w:pPr>
        <w:pStyle w:val="Cabealho"/>
        <w:rPr>
          <w:rFonts w:ascii="Century Gothic" w:hAnsi="Century Gothic"/>
        </w:rPr>
      </w:pPr>
    </w:p>
    <w:p w:rsidR="00AB6464" w:rsidRDefault="00AB6464" w:rsidP="00AB6464">
      <w:pPr>
        <w:pStyle w:val="Cabealho"/>
        <w:jc w:val="both"/>
        <w:rPr>
          <w:rFonts w:ascii="Century Gothic" w:hAnsi="Century Gothic"/>
        </w:rPr>
      </w:pPr>
      <w:r>
        <w:rPr>
          <w:rFonts w:ascii="Century Gothic" w:hAnsi="Century Gothic"/>
        </w:rPr>
        <w:t xml:space="preserve">Este quadro está diferente do ficheiro </w:t>
      </w:r>
      <w:proofErr w:type="spellStart"/>
      <w:r>
        <w:rPr>
          <w:rFonts w:ascii="Century Gothic" w:hAnsi="Century Gothic"/>
        </w:rPr>
        <w:t>xml</w:t>
      </w:r>
      <w:proofErr w:type="spellEnd"/>
      <w:r>
        <w:rPr>
          <w:rFonts w:ascii="Century Gothic" w:hAnsi="Century Gothic"/>
        </w:rPr>
        <w:t>, gerado no programa GERFIP e carregado na plataforma do Tribunal de Contas, devido ao facto de no programa GERFIP haver alguns dados que não foram devidamente associados ao contrato com a empresa Gomes &amp; Santos, Lda.</w:t>
      </w:r>
      <w:r w:rsidR="00BA1DB5">
        <w:rPr>
          <w:rFonts w:ascii="Century Gothic" w:hAnsi="Century Gothic"/>
        </w:rPr>
        <w:t xml:space="preserve"> (contrato 22</w:t>
      </w:r>
      <w:r w:rsidR="007F3BCD">
        <w:rPr>
          <w:rFonts w:ascii="Century Gothic" w:hAnsi="Century Gothic"/>
        </w:rPr>
        <w:t>INA550000</w:t>
      </w:r>
      <w:r w:rsidR="00BA1DB5">
        <w:rPr>
          <w:rFonts w:ascii="Century Gothic" w:hAnsi="Century Gothic"/>
        </w:rPr>
        <w:t>0) e Gotas de Chocolate, Lda. (contrato 22INA5500001)</w:t>
      </w:r>
      <w:r w:rsidR="007F3BCD">
        <w:rPr>
          <w:rFonts w:ascii="Century Gothic" w:hAnsi="Century Gothic"/>
        </w:rPr>
        <w:t xml:space="preserve">. </w:t>
      </w:r>
      <w:r w:rsidR="00053F63">
        <w:rPr>
          <w:rFonts w:ascii="Century Gothic" w:hAnsi="Century Gothic"/>
        </w:rPr>
        <w:t>Dado que não é possível corrigir em GERFIP</w:t>
      </w:r>
      <w:r w:rsidR="007F3BCD">
        <w:rPr>
          <w:rFonts w:ascii="Century Gothic" w:hAnsi="Century Gothic"/>
        </w:rPr>
        <w:t xml:space="preserve">, apresentamos o mapa dos encargos contratuais devidamente </w:t>
      </w:r>
      <w:r w:rsidR="00053F63">
        <w:rPr>
          <w:rFonts w:ascii="Century Gothic" w:hAnsi="Century Gothic"/>
        </w:rPr>
        <w:t>retificado</w:t>
      </w:r>
      <w:r w:rsidR="007F3BCD">
        <w:rPr>
          <w:rFonts w:ascii="Century Gothic" w:hAnsi="Century Gothic"/>
        </w:rPr>
        <w:t>, mais precisamente na</w:t>
      </w:r>
      <w:r w:rsidR="00BA1DB5">
        <w:rPr>
          <w:rFonts w:ascii="Century Gothic" w:hAnsi="Century Gothic"/>
        </w:rPr>
        <w:t>s</w:t>
      </w:r>
      <w:r w:rsidR="007F3BCD">
        <w:rPr>
          <w:rFonts w:ascii="Century Gothic" w:hAnsi="Century Gothic"/>
        </w:rPr>
        <w:t xml:space="preserve"> linha</w:t>
      </w:r>
      <w:r w:rsidR="00BA1DB5">
        <w:rPr>
          <w:rFonts w:ascii="Century Gothic" w:hAnsi="Century Gothic"/>
        </w:rPr>
        <w:t>s</w:t>
      </w:r>
      <w:r w:rsidR="007F3BCD">
        <w:rPr>
          <w:rFonts w:ascii="Century Gothic" w:hAnsi="Century Gothic"/>
        </w:rPr>
        <w:t xml:space="preserve"> do contrato 2</w:t>
      </w:r>
      <w:r w:rsidR="00BA1DB5">
        <w:rPr>
          <w:rFonts w:ascii="Century Gothic" w:hAnsi="Century Gothic"/>
        </w:rPr>
        <w:t>2</w:t>
      </w:r>
      <w:r w:rsidR="007F3BCD">
        <w:rPr>
          <w:rFonts w:ascii="Century Gothic" w:hAnsi="Century Gothic"/>
        </w:rPr>
        <w:t>INA550000</w:t>
      </w:r>
      <w:r w:rsidR="00BA1DB5">
        <w:rPr>
          <w:rFonts w:ascii="Century Gothic" w:hAnsi="Century Gothic"/>
        </w:rPr>
        <w:t>0 e do contrato 22INA5500001</w:t>
      </w:r>
      <w:r w:rsidR="007F3BCD">
        <w:rPr>
          <w:rFonts w:ascii="Century Gothic" w:hAnsi="Century Gothic"/>
        </w:rPr>
        <w:t xml:space="preserve">, nas colunas (3) N.º </w:t>
      </w:r>
      <w:proofErr w:type="spellStart"/>
      <w:r w:rsidR="007F3BCD">
        <w:rPr>
          <w:rFonts w:ascii="Century Gothic" w:hAnsi="Century Gothic"/>
        </w:rPr>
        <w:t>Compr</w:t>
      </w:r>
      <w:proofErr w:type="spellEnd"/>
      <w:r w:rsidR="007F3BCD">
        <w:rPr>
          <w:rFonts w:ascii="Century Gothic" w:hAnsi="Century Gothic"/>
        </w:rPr>
        <w:t xml:space="preserve">., (4) valor do </w:t>
      </w:r>
      <w:proofErr w:type="spellStart"/>
      <w:r w:rsidR="007F3BCD">
        <w:rPr>
          <w:rFonts w:ascii="Century Gothic" w:hAnsi="Century Gothic"/>
        </w:rPr>
        <w:t>Compr</w:t>
      </w:r>
      <w:proofErr w:type="spellEnd"/>
      <w:r w:rsidR="007F3BCD">
        <w:rPr>
          <w:rFonts w:ascii="Century Gothic" w:hAnsi="Century Gothic"/>
        </w:rPr>
        <w:t>. e (15) Pagamentos no ano 202</w:t>
      </w:r>
      <w:r w:rsidR="00BA1DB5">
        <w:rPr>
          <w:rFonts w:ascii="Century Gothic" w:hAnsi="Century Gothic"/>
        </w:rPr>
        <w:t>2</w:t>
      </w:r>
      <w:r w:rsidR="007F3BCD">
        <w:rPr>
          <w:rFonts w:ascii="Century Gothic" w:hAnsi="Century Gothic"/>
        </w:rPr>
        <w:t>.</w:t>
      </w:r>
      <w:r w:rsidR="002F70E4">
        <w:rPr>
          <w:rFonts w:ascii="Century Gothic" w:hAnsi="Century Gothic"/>
        </w:rPr>
        <w:t xml:space="preserve"> Este mapa (retificado) também se encontra no separador “Outros documentos anexos à conta de gerência”, da plataforma do Tribunal de Contas.</w:t>
      </w:r>
    </w:p>
    <w:p w:rsidR="00AB6464" w:rsidRDefault="00AB6464" w:rsidP="00AB6464">
      <w:pPr>
        <w:pStyle w:val="Cabealho"/>
        <w:jc w:val="both"/>
        <w:rPr>
          <w:rFonts w:ascii="Century Gothic" w:hAnsi="Century Gothic"/>
        </w:rPr>
      </w:pPr>
    </w:p>
    <w:p w:rsidR="002F70E4" w:rsidRDefault="002F70E4" w:rsidP="00AB6464">
      <w:pPr>
        <w:pStyle w:val="Cabealho"/>
        <w:jc w:val="both"/>
        <w:rPr>
          <w:rFonts w:ascii="Century Gothic" w:hAnsi="Century Gothic"/>
        </w:rPr>
      </w:pPr>
      <w:r>
        <w:rPr>
          <w:noProof/>
        </w:rPr>
        <w:drawing>
          <wp:inline distT="0" distB="0" distL="0" distR="0" wp14:anchorId="4CFFE393" wp14:editId="5DA0640E">
            <wp:extent cx="8890153" cy="2874874"/>
            <wp:effectExtent l="0" t="0" r="6350" b="190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958262" cy="2896899"/>
                    </a:xfrm>
                    <a:prstGeom prst="rect">
                      <a:avLst/>
                    </a:prstGeom>
                  </pic:spPr>
                </pic:pic>
              </a:graphicData>
            </a:graphic>
          </wp:inline>
        </w:drawing>
      </w:r>
    </w:p>
    <w:p w:rsidR="00053F63" w:rsidRDefault="00053F63" w:rsidP="00053F63">
      <w:pPr>
        <w:pStyle w:val="Cabealho"/>
        <w:jc w:val="both"/>
        <w:rPr>
          <w:rFonts w:ascii="Century Gothic" w:hAnsi="Century Gothic"/>
          <w:b/>
        </w:rPr>
      </w:pPr>
      <w:r>
        <w:rPr>
          <w:rFonts w:ascii="Century Gothic" w:hAnsi="Century Gothic"/>
          <w:b/>
        </w:rPr>
        <w:lastRenderedPageBreak/>
        <w:t xml:space="preserve">6.9 – </w:t>
      </w:r>
      <w:r w:rsidR="00A368EF">
        <w:rPr>
          <w:rFonts w:ascii="Century Gothic" w:hAnsi="Century Gothic"/>
          <w:b/>
        </w:rPr>
        <w:t>Dívidas por antiguidade de saldos</w:t>
      </w:r>
    </w:p>
    <w:p w:rsidR="00A368EF" w:rsidRDefault="00A368EF" w:rsidP="00053F63">
      <w:pPr>
        <w:pStyle w:val="Cabealho"/>
        <w:jc w:val="both"/>
        <w:rPr>
          <w:rFonts w:ascii="Century Gothic" w:hAnsi="Century Gothic"/>
          <w:b/>
        </w:rPr>
      </w:pPr>
    </w:p>
    <w:p w:rsidR="002A31B3" w:rsidRDefault="002A31B3" w:rsidP="00053F63">
      <w:pPr>
        <w:pStyle w:val="Cabealho"/>
        <w:jc w:val="both"/>
        <w:rPr>
          <w:rFonts w:ascii="Century Gothic" w:hAnsi="Century Gothic"/>
          <w:b/>
        </w:rPr>
      </w:pPr>
    </w:p>
    <w:p w:rsidR="00053F63" w:rsidRDefault="002A31B3" w:rsidP="00AB6464">
      <w:pPr>
        <w:pStyle w:val="Cabealho"/>
        <w:jc w:val="both"/>
        <w:rPr>
          <w:rFonts w:ascii="Century Gothic" w:hAnsi="Century Gothic"/>
        </w:rPr>
      </w:pPr>
      <w:r>
        <w:rPr>
          <w:noProof/>
        </w:rPr>
        <w:drawing>
          <wp:inline distT="0" distB="0" distL="0" distR="0" wp14:anchorId="75D3A5FF" wp14:editId="054F0A45">
            <wp:extent cx="8843464" cy="3774643"/>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907510" cy="3801979"/>
                    </a:xfrm>
                    <a:prstGeom prst="rect">
                      <a:avLst/>
                    </a:prstGeom>
                  </pic:spPr>
                </pic:pic>
              </a:graphicData>
            </a:graphic>
          </wp:inline>
        </w:drawing>
      </w:r>
    </w:p>
    <w:p w:rsidR="002A31B3" w:rsidRDefault="002A31B3" w:rsidP="00AB6464">
      <w:pPr>
        <w:pStyle w:val="Cabealho"/>
        <w:jc w:val="both"/>
        <w:rPr>
          <w:rFonts w:ascii="Century Gothic" w:hAnsi="Century Gothic"/>
        </w:rPr>
      </w:pPr>
    </w:p>
    <w:p w:rsidR="00A368EF" w:rsidRDefault="002A31B3" w:rsidP="00AB6464">
      <w:pPr>
        <w:pStyle w:val="Cabealho"/>
        <w:jc w:val="both"/>
        <w:rPr>
          <w:rFonts w:ascii="Century Gothic" w:hAnsi="Century Gothic"/>
        </w:rPr>
      </w:pPr>
      <w:r>
        <w:rPr>
          <w:noProof/>
        </w:rPr>
        <w:drawing>
          <wp:inline distT="0" distB="0" distL="0" distR="0" wp14:anchorId="4C9BFF4F" wp14:editId="5C0427E8">
            <wp:extent cx="8843645" cy="346740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66012" cy="3476175"/>
                    </a:xfrm>
                    <a:prstGeom prst="rect">
                      <a:avLst/>
                    </a:prstGeom>
                  </pic:spPr>
                </pic:pic>
              </a:graphicData>
            </a:graphic>
          </wp:inline>
        </w:drawing>
      </w:r>
    </w:p>
    <w:p w:rsidR="00A368EF" w:rsidRDefault="00A368EF" w:rsidP="00AB6464">
      <w:pPr>
        <w:pStyle w:val="Cabealho"/>
        <w:jc w:val="both"/>
        <w:rPr>
          <w:rFonts w:ascii="Century Gothic" w:hAnsi="Century Gothic"/>
        </w:rPr>
      </w:pPr>
    </w:p>
    <w:p w:rsidR="00A368EF" w:rsidRDefault="00AB6464" w:rsidP="00AB6464">
      <w:pPr>
        <w:pStyle w:val="Cabealho"/>
        <w:jc w:val="both"/>
        <w:rPr>
          <w:rFonts w:ascii="Century Gothic" w:hAnsi="Century Gothic"/>
        </w:rPr>
      </w:pPr>
      <w:r>
        <w:rPr>
          <w:rFonts w:ascii="Century Gothic" w:hAnsi="Century Gothic"/>
        </w:rPr>
        <w:t xml:space="preserve"> </w:t>
      </w:r>
    </w:p>
    <w:p w:rsidR="00A368EF" w:rsidRDefault="00A368EF" w:rsidP="00AB6464">
      <w:pPr>
        <w:pStyle w:val="Cabealho"/>
        <w:jc w:val="both"/>
        <w:rPr>
          <w:rFonts w:ascii="Century Gothic" w:hAnsi="Century Gothic"/>
        </w:rPr>
      </w:pPr>
      <w:r>
        <w:rPr>
          <w:rFonts w:ascii="Century Gothic" w:hAnsi="Century Gothic"/>
        </w:rPr>
        <w:t>A Escola Profissional de Capelas (Fundo Escolar) não tem dívidas por antiguidade de saldos.</w:t>
      </w:r>
    </w:p>
    <w:p w:rsidR="00A368EF" w:rsidRDefault="00A368EF" w:rsidP="00AB6464">
      <w:pPr>
        <w:pStyle w:val="Cabealho"/>
        <w:jc w:val="both"/>
        <w:rPr>
          <w:rFonts w:ascii="Century Gothic" w:hAnsi="Century Gothic"/>
        </w:rPr>
      </w:pPr>
    </w:p>
    <w:p w:rsidR="00871B18" w:rsidRDefault="00871B18" w:rsidP="00AB6464">
      <w:pPr>
        <w:pStyle w:val="Cabealho"/>
        <w:jc w:val="both"/>
        <w:rPr>
          <w:rFonts w:ascii="Century Gothic" w:hAnsi="Century Gothic"/>
        </w:rPr>
        <w:sectPr w:rsidR="00871B18" w:rsidSect="003F38D4">
          <w:pgSz w:w="16838" w:h="11906" w:orient="landscape" w:code="9"/>
          <w:pgMar w:top="1701" w:right="1418" w:bottom="2268" w:left="1418" w:header="720" w:footer="958" w:gutter="0"/>
          <w:cols w:space="720"/>
          <w:docGrid w:linePitch="360"/>
        </w:sectPr>
      </w:pPr>
    </w:p>
    <w:p w:rsidR="00871B18" w:rsidRDefault="00871B18" w:rsidP="00871B18">
      <w:pPr>
        <w:pStyle w:val="Cabealho"/>
        <w:jc w:val="both"/>
        <w:rPr>
          <w:rFonts w:ascii="Century Gothic" w:hAnsi="Century Gothic"/>
          <w:b/>
        </w:rPr>
      </w:pPr>
      <w:r>
        <w:rPr>
          <w:rFonts w:ascii="Century Gothic" w:hAnsi="Century Gothic"/>
          <w:b/>
        </w:rPr>
        <w:lastRenderedPageBreak/>
        <w:t>7 – Notas finais</w:t>
      </w:r>
    </w:p>
    <w:p w:rsidR="00A368EF" w:rsidRDefault="00A368EF" w:rsidP="00AB6464">
      <w:pPr>
        <w:pStyle w:val="Cabealho"/>
        <w:jc w:val="both"/>
        <w:rPr>
          <w:rFonts w:ascii="Century Gothic" w:hAnsi="Century Gothic"/>
        </w:rPr>
      </w:pPr>
    </w:p>
    <w:p w:rsidR="00871B18" w:rsidRDefault="00871B18" w:rsidP="00AB6464">
      <w:pPr>
        <w:pStyle w:val="Cabealho"/>
        <w:jc w:val="both"/>
        <w:rPr>
          <w:rFonts w:ascii="Century Gothic" w:hAnsi="Century Gothic"/>
        </w:rPr>
      </w:pPr>
      <w:r>
        <w:rPr>
          <w:rFonts w:ascii="Century Gothic" w:hAnsi="Century Gothic"/>
        </w:rPr>
        <w:t>Não ocorreram factos relevantes após o encerramento do exercício que distorçam a imagem verdadeira e apropriada que consta nas demonstrações financeiras e orçamentais.</w:t>
      </w:r>
    </w:p>
    <w:p w:rsidR="002D2E64" w:rsidRDefault="002D2E64" w:rsidP="00AB6464">
      <w:pPr>
        <w:pStyle w:val="Cabealho"/>
        <w:jc w:val="both"/>
        <w:rPr>
          <w:rFonts w:ascii="Century Gothic" w:hAnsi="Century Gothic"/>
        </w:rPr>
      </w:pPr>
    </w:p>
    <w:p w:rsidR="002D2E64" w:rsidRDefault="002D2E64" w:rsidP="00AB6464">
      <w:pPr>
        <w:pStyle w:val="Cabealho"/>
        <w:jc w:val="both"/>
        <w:rPr>
          <w:rFonts w:ascii="Century Gothic" w:hAnsi="Century Gothic"/>
        </w:rPr>
      </w:pPr>
      <w:r>
        <w:rPr>
          <w:rFonts w:ascii="Century Gothic" w:hAnsi="Century Gothic"/>
        </w:rPr>
        <w:t xml:space="preserve">Os documentos relativos à conta de gerência serão disponibilizados no sítio da internet </w:t>
      </w:r>
      <w:r w:rsidRPr="002D2E64">
        <w:rPr>
          <w:rFonts w:ascii="Century Gothic" w:hAnsi="Century Gothic" w:cstheme="minorHAnsi"/>
        </w:rPr>
        <w:t>https://edu.azores.gov.pt/escolas/ep-das-capelas/</w:t>
      </w:r>
      <w:r>
        <w:rPr>
          <w:rFonts w:asciiTheme="minorHAnsi" w:hAnsiTheme="minorHAnsi" w:cstheme="minorHAnsi"/>
          <w:sz w:val="22"/>
          <w:szCs w:val="22"/>
        </w:rPr>
        <w:t>.</w:t>
      </w:r>
    </w:p>
    <w:p w:rsidR="006D0270" w:rsidRDefault="006D0270" w:rsidP="00AB6464">
      <w:pPr>
        <w:pStyle w:val="Cabealho"/>
        <w:jc w:val="both"/>
        <w:rPr>
          <w:rFonts w:ascii="Century Gothic" w:hAnsi="Century Gothic"/>
        </w:rPr>
      </w:pPr>
    </w:p>
    <w:p w:rsidR="006D0270" w:rsidRDefault="006D0270" w:rsidP="00AB6464">
      <w:pPr>
        <w:pStyle w:val="Cabealho"/>
        <w:jc w:val="both"/>
        <w:rPr>
          <w:rFonts w:ascii="Century Gothic" w:hAnsi="Century Gothic"/>
        </w:rPr>
      </w:pPr>
      <w:r>
        <w:rPr>
          <w:rFonts w:ascii="Century Gothic" w:hAnsi="Century Gothic"/>
        </w:rPr>
        <w:t xml:space="preserve">A Escola Profissional de Capelas é uma instituição dinâmica, pensada, planeada e criada com o intuito </w:t>
      </w:r>
      <w:r w:rsidR="00B715CF">
        <w:rPr>
          <w:rFonts w:ascii="Century Gothic" w:hAnsi="Century Gothic"/>
        </w:rPr>
        <w:t>de proporcionar reais alternativas de formação aos jovens que pretendem enveredar por uma via profissionalizante, assim como dotar aos ativos melhorias nas suas competências para melhor enfrentarem os desafios do mundo laboral.</w:t>
      </w:r>
    </w:p>
    <w:p w:rsidR="00B715CF" w:rsidRDefault="00B715CF" w:rsidP="00AB6464">
      <w:pPr>
        <w:pStyle w:val="Cabealho"/>
        <w:jc w:val="both"/>
        <w:rPr>
          <w:rFonts w:ascii="Century Gothic" w:hAnsi="Century Gothic"/>
        </w:rPr>
      </w:pPr>
    </w:p>
    <w:p w:rsidR="00B715CF" w:rsidRDefault="00B715CF" w:rsidP="00AB6464">
      <w:pPr>
        <w:pStyle w:val="Cabealho"/>
        <w:jc w:val="both"/>
        <w:rPr>
          <w:rFonts w:ascii="Century Gothic" w:hAnsi="Century Gothic"/>
        </w:rPr>
      </w:pPr>
      <w:r>
        <w:rPr>
          <w:rFonts w:ascii="Century Gothic" w:hAnsi="Century Gothic"/>
        </w:rPr>
        <w:t xml:space="preserve">A todos eles objetivamos </w:t>
      </w:r>
      <w:r w:rsidR="008136E9">
        <w:rPr>
          <w:rFonts w:ascii="Century Gothic" w:hAnsi="Century Gothic"/>
        </w:rPr>
        <w:t>fomentar e incentivar o desenvolvimento de capacidades e competências adequadas às necessidades do mundo atual.</w:t>
      </w:r>
    </w:p>
    <w:p w:rsidR="008136E9" w:rsidRDefault="008136E9" w:rsidP="00AB6464">
      <w:pPr>
        <w:pStyle w:val="Cabealho"/>
        <w:jc w:val="both"/>
        <w:rPr>
          <w:rFonts w:ascii="Century Gothic" w:hAnsi="Century Gothic"/>
        </w:rPr>
      </w:pPr>
    </w:p>
    <w:p w:rsidR="008136E9" w:rsidRDefault="008136E9" w:rsidP="00AB6464">
      <w:pPr>
        <w:pStyle w:val="Cabealho"/>
        <w:jc w:val="both"/>
        <w:rPr>
          <w:rFonts w:ascii="Century Gothic" w:hAnsi="Century Gothic"/>
        </w:rPr>
      </w:pPr>
      <w:r>
        <w:rPr>
          <w:rFonts w:ascii="Century Gothic" w:hAnsi="Century Gothic"/>
        </w:rPr>
        <w:t xml:space="preserve">Desenvolvemos a nossa atividade de acordo com as instruções da tutela e em colaboração </w:t>
      </w:r>
      <w:r w:rsidR="00C62A88">
        <w:rPr>
          <w:rFonts w:ascii="Century Gothic" w:hAnsi="Century Gothic"/>
        </w:rPr>
        <w:t>e sintonia com os demais organismos da Administração Pública Regional, em especial com a Direção Regional da Qualificação Profissional e Emprego.</w:t>
      </w:r>
    </w:p>
    <w:p w:rsidR="00C62A88" w:rsidRDefault="00C62A88" w:rsidP="00AB6464">
      <w:pPr>
        <w:pStyle w:val="Cabealho"/>
        <w:jc w:val="both"/>
        <w:rPr>
          <w:rFonts w:ascii="Century Gothic" w:hAnsi="Century Gothic"/>
        </w:rPr>
      </w:pPr>
    </w:p>
    <w:p w:rsidR="00C62A88" w:rsidRDefault="00C62A88" w:rsidP="00AB6464">
      <w:pPr>
        <w:pStyle w:val="Cabealho"/>
        <w:jc w:val="both"/>
        <w:rPr>
          <w:rFonts w:ascii="Century Gothic" w:hAnsi="Century Gothic"/>
        </w:rPr>
      </w:pPr>
      <w:r>
        <w:rPr>
          <w:rFonts w:ascii="Century Gothic" w:hAnsi="Century Gothic"/>
        </w:rPr>
        <w:t>A Escola Profissional de Capelas tem um especial cuidado com a realidade regional, nomeadamente na sua relação com as empresas e demais agentes económicos. Nesta medida os nossos cursos funcionam em ligação permanente com as entidades empregadoras, proporcionando parcerias educativas e potenciando o enriquecimento nos vários setores económicos e sociais.</w:t>
      </w:r>
    </w:p>
    <w:p w:rsidR="00C62A88" w:rsidRDefault="00C62A88" w:rsidP="00AB6464">
      <w:pPr>
        <w:pStyle w:val="Cabealho"/>
        <w:jc w:val="both"/>
        <w:rPr>
          <w:rFonts w:ascii="Century Gothic" w:hAnsi="Century Gothic"/>
        </w:rPr>
      </w:pPr>
    </w:p>
    <w:p w:rsidR="00AB6464" w:rsidRPr="00817096" w:rsidRDefault="00C62A88" w:rsidP="00C62A88">
      <w:pPr>
        <w:pStyle w:val="Cabealho"/>
        <w:jc w:val="both"/>
        <w:rPr>
          <w:rFonts w:ascii="Century Gothic" w:hAnsi="Century Gothic"/>
        </w:rPr>
      </w:pPr>
      <w:r>
        <w:rPr>
          <w:rFonts w:ascii="Century Gothic" w:hAnsi="Century Gothic"/>
        </w:rPr>
        <w:t>Esta instituição é feita de história e de muitos momentos de glória e sucesso. Gostaríamos de agradecer o contributo decisivo prestado por todos quantos colaboram para o desenvolvimento da sua atividade.</w:t>
      </w:r>
    </w:p>
    <w:sectPr w:rsidR="00AB6464" w:rsidRPr="00817096" w:rsidSect="00871B18">
      <w:pgSz w:w="11906" w:h="16838" w:code="9"/>
      <w:pgMar w:top="1418" w:right="2268" w:bottom="1418" w:left="1701" w:header="720" w:footer="9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0E4" w:rsidRDefault="002F70E4">
      <w:r>
        <w:separator/>
      </w:r>
    </w:p>
  </w:endnote>
  <w:endnote w:type="continuationSeparator" w:id="0">
    <w:p w:rsidR="002F70E4" w:rsidRDefault="002F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Euphemia">
    <w:altName w:val="Gadugi"/>
    <w:charset w:val="00"/>
    <w:family w:val="swiss"/>
    <w:pitch w:val="variable"/>
    <w:sig w:usb0="00000003" w:usb1="0000004A" w:usb2="00002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0E4" w:rsidRPr="001A5A1B" w:rsidRDefault="002F70E4" w:rsidP="00296374">
    <w:pPr>
      <w:pStyle w:val="Rodap"/>
      <w:pBdr>
        <w:top w:val="single" w:sz="4" w:space="1" w:color="D9D9D9"/>
      </w:pBdr>
      <w:jc w:val="right"/>
      <w:rPr>
        <w:rFonts w:ascii="Trebuchet MS" w:hAnsi="Trebuchet MS"/>
        <w:b/>
        <w:bCs/>
        <w:sz w:val="16"/>
        <w:szCs w:val="16"/>
      </w:rPr>
    </w:pPr>
    <w:r w:rsidRPr="001A5A1B">
      <w:rPr>
        <w:rFonts w:ascii="Trebuchet MS" w:hAnsi="Trebuchet MS"/>
        <w:sz w:val="16"/>
        <w:szCs w:val="16"/>
      </w:rPr>
      <w:fldChar w:fldCharType="begin"/>
    </w:r>
    <w:r w:rsidRPr="001A5A1B">
      <w:rPr>
        <w:rFonts w:ascii="Trebuchet MS" w:hAnsi="Trebuchet MS"/>
        <w:sz w:val="16"/>
        <w:szCs w:val="16"/>
      </w:rPr>
      <w:instrText>PAGE   \* MERGEFORMAT</w:instrText>
    </w:r>
    <w:r w:rsidRPr="001A5A1B">
      <w:rPr>
        <w:rFonts w:ascii="Trebuchet MS" w:hAnsi="Trebuchet MS"/>
        <w:sz w:val="16"/>
        <w:szCs w:val="16"/>
      </w:rPr>
      <w:fldChar w:fldCharType="separate"/>
    </w:r>
    <w:r w:rsidR="001879FC" w:rsidRPr="001879FC">
      <w:rPr>
        <w:rFonts w:ascii="Trebuchet MS" w:hAnsi="Trebuchet MS"/>
        <w:b/>
        <w:bCs/>
        <w:noProof/>
        <w:sz w:val="16"/>
        <w:szCs w:val="16"/>
      </w:rPr>
      <w:t>29</w:t>
    </w:r>
    <w:r w:rsidRPr="001A5A1B">
      <w:rPr>
        <w:rFonts w:ascii="Trebuchet MS" w:hAnsi="Trebuchet MS"/>
        <w:b/>
        <w:bCs/>
        <w:sz w:val="16"/>
        <w:szCs w:val="16"/>
      </w:rPr>
      <w:fldChar w:fldCharType="end"/>
    </w:r>
    <w:r w:rsidRPr="001A5A1B">
      <w:rPr>
        <w:rFonts w:ascii="Trebuchet MS" w:hAnsi="Trebuchet MS"/>
        <w:b/>
        <w:bCs/>
        <w:sz w:val="16"/>
        <w:szCs w:val="16"/>
      </w:rPr>
      <w:t xml:space="preserve"> | </w:t>
    </w:r>
    <w:r w:rsidRPr="00296374">
      <w:rPr>
        <w:rFonts w:ascii="Trebuchet MS" w:hAnsi="Trebuchet MS"/>
        <w:color w:val="7F7F7F"/>
        <w:spacing w:val="60"/>
        <w:sz w:val="16"/>
        <w:szCs w:val="16"/>
      </w:rPr>
      <w:t>Página</w:t>
    </w:r>
  </w:p>
  <w:p w:rsidR="002F70E4" w:rsidRDefault="002F70E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0E4" w:rsidRDefault="002F70E4">
      <w:r>
        <w:separator/>
      </w:r>
    </w:p>
  </w:footnote>
  <w:footnote w:type="continuationSeparator" w:id="0">
    <w:p w:rsidR="002F70E4" w:rsidRDefault="002F7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0E4" w:rsidRDefault="002F70E4" w:rsidP="00713F20">
    <w:pPr>
      <w:pStyle w:val="Cabealho"/>
      <w:jc w:val="center"/>
      <w:rPr>
        <w:rFonts w:ascii="Calibri" w:hAnsi="Calibri"/>
        <w:b/>
        <w:caps/>
        <w:sz w:val="24"/>
      </w:rPr>
    </w:pPr>
    <w:r>
      <w:rPr>
        <w:rFonts w:ascii="Calibri" w:hAnsi="Calibri"/>
        <w:b/>
        <w:caps/>
        <w:noProof/>
        <w:sz w:val="24"/>
      </w:rPr>
      <w:drawing>
        <wp:inline distT="0" distB="0" distL="0" distR="0">
          <wp:extent cx="628650" cy="590550"/>
          <wp:effectExtent l="0" t="0" r="0" b="0"/>
          <wp:docPr id="44" name="Imagem 44" descr="í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índ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p w:rsidR="002F70E4" w:rsidRDefault="002F70E4" w:rsidP="00713F20">
    <w:pPr>
      <w:pStyle w:val="Cabealho"/>
      <w:jc w:val="center"/>
    </w:pPr>
  </w:p>
  <w:p w:rsidR="002F70E4" w:rsidRPr="000B3216" w:rsidRDefault="002F70E4">
    <w:pPr>
      <w:pStyle w:val="Cabealho1"/>
      <w:rPr>
        <w:rFonts w:ascii="Century Gothic" w:hAnsi="Century Gothic"/>
        <w:b/>
        <w:caps/>
        <w:sz w:val="18"/>
      </w:rPr>
    </w:pPr>
    <w:r w:rsidRPr="000B3216">
      <w:rPr>
        <w:rFonts w:ascii="Century Gothic" w:hAnsi="Century Gothic"/>
        <w:b/>
        <w:caps/>
        <w:sz w:val="18"/>
      </w:rPr>
      <w:t>REGIÃO AUTÓNOMA DOS AÇORES</w:t>
    </w:r>
  </w:p>
  <w:p w:rsidR="002F70E4" w:rsidRPr="000B3216" w:rsidRDefault="002F70E4">
    <w:pPr>
      <w:jc w:val="center"/>
      <w:rPr>
        <w:rFonts w:ascii="Century Gothic" w:hAnsi="Century Gothic"/>
        <w:b/>
        <w:caps/>
        <w:sz w:val="18"/>
      </w:rPr>
    </w:pPr>
    <w:r w:rsidRPr="000B3216">
      <w:rPr>
        <w:rFonts w:ascii="Century Gothic" w:hAnsi="Century Gothic"/>
        <w:b/>
        <w:caps/>
        <w:sz w:val="18"/>
      </w:rPr>
      <w:t>SECRETARIA REGIONAL DA</w:t>
    </w:r>
    <w:r>
      <w:rPr>
        <w:rFonts w:ascii="Century Gothic" w:hAnsi="Century Gothic"/>
        <w:b/>
        <w:caps/>
        <w:sz w:val="18"/>
      </w:rPr>
      <w:t xml:space="preserve"> EDUCAÇÃO E DOS ASSUNTOS CULTURAIS</w:t>
    </w:r>
  </w:p>
  <w:p w:rsidR="002F70E4" w:rsidRPr="000B3216" w:rsidRDefault="002F70E4" w:rsidP="00A65A6A">
    <w:pPr>
      <w:pStyle w:val="Cabealho"/>
      <w:pBdr>
        <w:bottom w:val="single" w:sz="4" w:space="1" w:color="auto"/>
      </w:pBdr>
      <w:jc w:val="center"/>
      <w:rPr>
        <w:rFonts w:ascii="Century Gothic" w:hAnsi="Century Gothic"/>
        <w:b/>
        <w:caps/>
        <w:sz w:val="18"/>
      </w:rPr>
    </w:pPr>
    <w:r>
      <w:rPr>
        <w:rFonts w:ascii="Century Gothic" w:hAnsi="Century Gothic"/>
        <w:b/>
        <w:caps/>
        <w:sz w:val="18"/>
      </w:rPr>
      <w:t xml:space="preserve">FUNDO ESCOLAR DA </w:t>
    </w:r>
    <w:r w:rsidRPr="000B3216">
      <w:rPr>
        <w:rFonts w:ascii="Century Gothic" w:hAnsi="Century Gothic"/>
        <w:b/>
        <w:caps/>
        <w:sz w:val="18"/>
      </w:rPr>
      <w:t>ESCOLA PROFISSIONAL DE CAPELAS</w:t>
    </w:r>
  </w:p>
  <w:p w:rsidR="002F70E4" w:rsidRPr="00A65A6A" w:rsidRDefault="002F70E4" w:rsidP="00A65A6A">
    <w:pPr>
      <w:pStyle w:val="Cabealho"/>
      <w:jc w:val="center"/>
      <w:rPr>
        <w:rFonts w:ascii="Euphemia" w:hAnsi="Euphemia"/>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692F"/>
    <w:multiLevelType w:val="multilevel"/>
    <w:tmpl w:val="FE42EF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B0E41F1"/>
    <w:multiLevelType w:val="multilevel"/>
    <w:tmpl w:val="FADA3D4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C0F6062"/>
    <w:multiLevelType w:val="multilevel"/>
    <w:tmpl w:val="BFB0739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FC7072D"/>
    <w:multiLevelType w:val="hybridMultilevel"/>
    <w:tmpl w:val="188C3B62"/>
    <w:lvl w:ilvl="0" w:tplc="E1AC221E">
      <w:start w:val="1"/>
      <w:numFmt w:val="bullet"/>
      <w:lvlText w:val="o"/>
      <w:lvlJc w:val="left"/>
      <w:pPr>
        <w:ind w:left="972" w:hanging="360"/>
      </w:pPr>
      <w:rPr>
        <w:rFonts w:ascii="Courier New" w:hAnsi="Courier New" w:cs="Courier New" w:hint="default"/>
        <w:sz w:val="18"/>
        <w:szCs w:val="18"/>
      </w:rPr>
    </w:lvl>
    <w:lvl w:ilvl="1" w:tplc="08160003" w:tentative="1">
      <w:start w:val="1"/>
      <w:numFmt w:val="bullet"/>
      <w:lvlText w:val="o"/>
      <w:lvlJc w:val="left"/>
      <w:pPr>
        <w:ind w:left="1692" w:hanging="360"/>
      </w:pPr>
      <w:rPr>
        <w:rFonts w:ascii="Courier New" w:hAnsi="Courier New" w:cs="Courier New" w:hint="default"/>
      </w:rPr>
    </w:lvl>
    <w:lvl w:ilvl="2" w:tplc="08160005" w:tentative="1">
      <w:start w:val="1"/>
      <w:numFmt w:val="bullet"/>
      <w:lvlText w:val=""/>
      <w:lvlJc w:val="left"/>
      <w:pPr>
        <w:ind w:left="2412" w:hanging="360"/>
      </w:pPr>
      <w:rPr>
        <w:rFonts w:ascii="Wingdings" w:hAnsi="Wingdings" w:hint="default"/>
      </w:rPr>
    </w:lvl>
    <w:lvl w:ilvl="3" w:tplc="08160001" w:tentative="1">
      <w:start w:val="1"/>
      <w:numFmt w:val="bullet"/>
      <w:lvlText w:val=""/>
      <w:lvlJc w:val="left"/>
      <w:pPr>
        <w:ind w:left="3132" w:hanging="360"/>
      </w:pPr>
      <w:rPr>
        <w:rFonts w:ascii="Symbol" w:hAnsi="Symbol" w:hint="default"/>
      </w:rPr>
    </w:lvl>
    <w:lvl w:ilvl="4" w:tplc="08160003" w:tentative="1">
      <w:start w:val="1"/>
      <w:numFmt w:val="bullet"/>
      <w:lvlText w:val="o"/>
      <w:lvlJc w:val="left"/>
      <w:pPr>
        <w:ind w:left="3852" w:hanging="360"/>
      </w:pPr>
      <w:rPr>
        <w:rFonts w:ascii="Courier New" w:hAnsi="Courier New" w:cs="Courier New" w:hint="default"/>
      </w:rPr>
    </w:lvl>
    <w:lvl w:ilvl="5" w:tplc="08160005" w:tentative="1">
      <w:start w:val="1"/>
      <w:numFmt w:val="bullet"/>
      <w:lvlText w:val=""/>
      <w:lvlJc w:val="left"/>
      <w:pPr>
        <w:ind w:left="4572" w:hanging="360"/>
      </w:pPr>
      <w:rPr>
        <w:rFonts w:ascii="Wingdings" w:hAnsi="Wingdings" w:hint="default"/>
      </w:rPr>
    </w:lvl>
    <w:lvl w:ilvl="6" w:tplc="08160001" w:tentative="1">
      <w:start w:val="1"/>
      <w:numFmt w:val="bullet"/>
      <w:lvlText w:val=""/>
      <w:lvlJc w:val="left"/>
      <w:pPr>
        <w:ind w:left="5292" w:hanging="360"/>
      </w:pPr>
      <w:rPr>
        <w:rFonts w:ascii="Symbol" w:hAnsi="Symbol" w:hint="default"/>
      </w:rPr>
    </w:lvl>
    <w:lvl w:ilvl="7" w:tplc="08160003" w:tentative="1">
      <w:start w:val="1"/>
      <w:numFmt w:val="bullet"/>
      <w:lvlText w:val="o"/>
      <w:lvlJc w:val="left"/>
      <w:pPr>
        <w:ind w:left="6012" w:hanging="360"/>
      </w:pPr>
      <w:rPr>
        <w:rFonts w:ascii="Courier New" w:hAnsi="Courier New" w:cs="Courier New" w:hint="default"/>
      </w:rPr>
    </w:lvl>
    <w:lvl w:ilvl="8" w:tplc="08160005" w:tentative="1">
      <w:start w:val="1"/>
      <w:numFmt w:val="bullet"/>
      <w:lvlText w:val=""/>
      <w:lvlJc w:val="left"/>
      <w:pPr>
        <w:ind w:left="6732" w:hanging="360"/>
      </w:pPr>
      <w:rPr>
        <w:rFonts w:ascii="Wingdings" w:hAnsi="Wingdings" w:hint="default"/>
      </w:rPr>
    </w:lvl>
  </w:abstractNum>
  <w:abstractNum w:abstractNumId="4" w15:restartNumberingAfterBreak="0">
    <w:nsid w:val="160A2560"/>
    <w:multiLevelType w:val="multilevel"/>
    <w:tmpl w:val="06765E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E3752DF"/>
    <w:multiLevelType w:val="hybridMultilevel"/>
    <w:tmpl w:val="297016FA"/>
    <w:lvl w:ilvl="0" w:tplc="5E181F92">
      <w:start w:val="1"/>
      <w:numFmt w:val="decimal"/>
      <w:lvlText w:val="%1-"/>
      <w:lvlJc w:val="left"/>
      <w:pPr>
        <w:ind w:left="2160" w:hanging="360"/>
      </w:pPr>
      <w:rPr>
        <w:rFonts w:hint="default"/>
      </w:rPr>
    </w:lvl>
    <w:lvl w:ilvl="1" w:tplc="08160019" w:tentative="1">
      <w:start w:val="1"/>
      <w:numFmt w:val="lowerLetter"/>
      <w:lvlText w:val="%2."/>
      <w:lvlJc w:val="left"/>
      <w:pPr>
        <w:ind w:left="2520" w:hanging="360"/>
      </w:pPr>
    </w:lvl>
    <w:lvl w:ilvl="2" w:tplc="0816001B" w:tentative="1">
      <w:start w:val="1"/>
      <w:numFmt w:val="lowerRoman"/>
      <w:lvlText w:val="%3."/>
      <w:lvlJc w:val="right"/>
      <w:pPr>
        <w:ind w:left="3240" w:hanging="180"/>
      </w:pPr>
    </w:lvl>
    <w:lvl w:ilvl="3" w:tplc="0816000F" w:tentative="1">
      <w:start w:val="1"/>
      <w:numFmt w:val="decimal"/>
      <w:lvlText w:val="%4."/>
      <w:lvlJc w:val="left"/>
      <w:pPr>
        <w:ind w:left="3960" w:hanging="360"/>
      </w:pPr>
    </w:lvl>
    <w:lvl w:ilvl="4" w:tplc="08160019" w:tentative="1">
      <w:start w:val="1"/>
      <w:numFmt w:val="lowerLetter"/>
      <w:lvlText w:val="%5."/>
      <w:lvlJc w:val="left"/>
      <w:pPr>
        <w:ind w:left="4680" w:hanging="360"/>
      </w:pPr>
    </w:lvl>
    <w:lvl w:ilvl="5" w:tplc="0816001B" w:tentative="1">
      <w:start w:val="1"/>
      <w:numFmt w:val="lowerRoman"/>
      <w:lvlText w:val="%6."/>
      <w:lvlJc w:val="right"/>
      <w:pPr>
        <w:ind w:left="5400" w:hanging="180"/>
      </w:pPr>
    </w:lvl>
    <w:lvl w:ilvl="6" w:tplc="0816000F" w:tentative="1">
      <w:start w:val="1"/>
      <w:numFmt w:val="decimal"/>
      <w:lvlText w:val="%7."/>
      <w:lvlJc w:val="left"/>
      <w:pPr>
        <w:ind w:left="6120" w:hanging="360"/>
      </w:pPr>
    </w:lvl>
    <w:lvl w:ilvl="7" w:tplc="08160019" w:tentative="1">
      <w:start w:val="1"/>
      <w:numFmt w:val="lowerLetter"/>
      <w:lvlText w:val="%8."/>
      <w:lvlJc w:val="left"/>
      <w:pPr>
        <w:ind w:left="6840" w:hanging="360"/>
      </w:pPr>
    </w:lvl>
    <w:lvl w:ilvl="8" w:tplc="0816001B" w:tentative="1">
      <w:start w:val="1"/>
      <w:numFmt w:val="lowerRoman"/>
      <w:lvlText w:val="%9."/>
      <w:lvlJc w:val="right"/>
      <w:pPr>
        <w:ind w:left="7560" w:hanging="180"/>
      </w:pPr>
    </w:lvl>
  </w:abstractNum>
  <w:abstractNum w:abstractNumId="6" w15:restartNumberingAfterBreak="0">
    <w:nsid w:val="27440F18"/>
    <w:multiLevelType w:val="hybridMultilevel"/>
    <w:tmpl w:val="49C0A71E"/>
    <w:lvl w:ilvl="0" w:tplc="C43832D0">
      <w:start w:val="1"/>
      <w:numFmt w:val="lowerLetter"/>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27D96E67"/>
    <w:multiLevelType w:val="multilevel"/>
    <w:tmpl w:val="06765E58"/>
    <w:lvl w:ilvl="0">
      <w:start w:val="1"/>
      <w:numFmt w:val="decimal"/>
      <w:lvlText w:val="%1."/>
      <w:lvlJc w:val="left"/>
      <w:pPr>
        <w:ind w:left="142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8" w15:restartNumberingAfterBreak="0">
    <w:nsid w:val="29060C89"/>
    <w:multiLevelType w:val="multilevel"/>
    <w:tmpl w:val="D0DC47D4"/>
    <w:lvl w:ilvl="0">
      <w:start w:val="1"/>
      <w:numFmt w:val="decimal"/>
      <w:lvlText w:val="%1."/>
      <w:lvlJc w:val="left"/>
      <w:pPr>
        <w:ind w:left="50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942" w:hanging="108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3022" w:hanging="1440"/>
      </w:pPr>
      <w:rPr>
        <w:rFonts w:hint="default"/>
      </w:rPr>
    </w:lvl>
    <w:lvl w:ilvl="5">
      <w:start w:val="1"/>
      <w:numFmt w:val="decimal"/>
      <w:isLgl/>
      <w:lvlText w:val="%1.%2.%3.%4.%5.%6."/>
      <w:lvlJc w:val="left"/>
      <w:pPr>
        <w:ind w:left="3742" w:hanging="1800"/>
      </w:pPr>
      <w:rPr>
        <w:rFonts w:hint="default"/>
      </w:rPr>
    </w:lvl>
    <w:lvl w:ilvl="6">
      <w:start w:val="1"/>
      <w:numFmt w:val="decimal"/>
      <w:isLgl/>
      <w:lvlText w:val="%1.%2.%3.%4.%5.%6.%7."/>
      <w:lvlJc w:val="left"/>
      <w:pPr>
        <w:ind w:left="4102" w:hanging="1800"/>
      </w:pPr>
      <w:rPr>
        <w:rFonts w:hint="default"/>
      </w:rPr>
    </w:lvl>
    <w:lvl w:ilvl="7">
      <w:start w:val="1"/>
      <w:numFmt w:val="decimal"/>
      <w:isLgl/>
      <w:lvlText w:val="%1.%2.%3.%4.%5.%6.%7.%8."/>
      <w:lvlJc w:val="left"/>
      <w:pPr>
        <w:ind w:left="4822" w:hanging="2160"/>
      </w:pPr>
      <w:rPr>
        <w:rFonts w:hint="default"/>
      </w:rPr>
    </w:lvl>
    <w:lvl w:ilvl="8">
      <w:start w:val="1"/>
      <w:numFmt w:val="decimal"/>
      <w:isLgl/>
      <w:lvlText w:val="%1.%2.%3.%4.%5.%6.%7.%8.%9."/>
      <w:lvlJc w:val="left"/>
      <w:pPr>
        <w:ind w:left="5542" w:hanging="2520"/>
      </w:pPr>
      <w:rPr>
        <w:rFonts w:hint="default"/>
      </w:rPr>
    </w:lvl>
  </w:abstractNum>
  <w:abstractNum w:abstractNumId="9" w15:restartNumberingAfterBreak="0">
    <w:nsid w:val="2B645A18"/>
    <w:multiLevelType w:val="multilevel"/>
    <w:tmpl w:val="494EC9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DC4013C"/>
    <w:multiLevelType w:val="multilevel"/>
    <w:tmpl w:val="06765E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0C365C7"/>
    <w:multiLevelType w:val="multilevel"/>
    <w:tmpl w:val="B636A4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B03974"/>
    <w:multiLevelType w:val="hybridMultilevel"/>
    <w:tmpl w:val="CD70CED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386C3E84"/>
    <w:multiLevelType w:val="hybridMultilevel"/>
    <w:tmpl w:val="39087B6C"/>
    <w:lvl w:ilvl="0" w:tplc="9E78C752">
      <w:start w:val="1"/>
      <w:numFmt w:val="decimal"/>
      <w:lvlText w:val="%1."/>
      <w:lvlJc w:val="left"/>
      <w:pPr>
        <w:ind w:left="502" w:hanging="360"/>
      </w:pPr>
      <w:rPr>
        <w:rFonts w:hint="default"/>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14" w15:restartNumberingAfterBreak="0">
    <w:nsid w:val="3A464CC3"/>
    <w:multiLevelType w:val="multilevel"/>
    <w:tmpl w:val="4BAED328"/>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0E141D"/>
    <w:multiLevelType w:val="hybridMultilevel"/>
    <w:tmpl w:val="610EAD6A"/>
    <w:lvl w:ilvl="0" w:tplc="46929BA8">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3FC65A5B"/>
    <w:multiLevelType w:val="hybridMultilevel"/>
    <w:tmpl w:val="67883F20"/>
    <w:lvl w:ilvl="0" w:tplc="5E181F92">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7" w15:restartNumberingAfterBreak="0">
    <w:nsid w:val="4CB16C3C"/>
    <w:multiLevelType w:val="hybridMultilevel"/>
    <w:tmpl w:val="A56A3B64"/>
    <w:lvl w:ilvl="0" w:tplc="3BE40B3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4CF346D3"/>
    <w:multiLevelType w:val="hybridMultilevel"/>
    <w:tmpl w:val="B7024E84"/>
    <w:lvl w:ilvl="0" w:tplc="40C2A04A">
      <w:start w:val="1"/>
      <w:numFmt w:val="decimal"/>
      <w:lvlText w:val="%1."/>
      <w:lvlJc w:val="left"/>
      <w:pPr>
        <w:ind w:left="502" w:hanging="360"/>
      </w:pPr>
      <w:rPr>
        <w:rFonts w:hint="default"/>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19" w15:restartNumberingAfterBreak="0">
    <w:nsid w:val="4F4B2EB6"/>
    <w:multiLevelType w:val="hybridMultilevel"/>
    <w:tmpl w:val="5F1419A0"/>
    <w:lvl w:ilvl="0" w:tplc="0816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23A44D5"/>
    <w:multiLevelType w:val="hybridMultilevel"/>
    <w:tmpl w:val="B174208C"/>
    <w:lvl w:ilvl="0" w:tplc="2C18021E">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563506C4"/>
    <w:multiLevelType w:val="hybridMultilevel"/>
    <w:tmpl w:val="6E7038A8"/>
    <w:lvl w:ilvl="0" w:tplc="E0860E8A">
      <w:start w:val="1"/>
      <w:numFmt w:val="bullet"/>
      <w:lvlText w:val="o"/>
      <w:lvlJc w:val="left"/>
      <w:pPr>
        <w:ind w:left="720" w:hanging="360"/>
      </w:pPr>
      <w:rPr>
        <w:rFonts w:ascii="Courier New" w:hAnsi="Courier New" w:cs="Courier New" w:hint="default"/>
        <w:sz w:val="16"/>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5959052F"/>
    <w:multiLevelType w:val="hybridMultilevel"/>
    <w:tmpl w:val="1118417C"/>
    <w:lvl w:ilvl="0" w:tplc="16869A6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5E8274F5"/>
    <w:multiLevelType w:val="multilevel"/>
    <w:tmpl w:val="E9AAA65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ECF02D6"/>
    <w:multiLevelType w:val="hybridMultilevel"/>
    <w:tmpl w:val="8AB84B80"/>
    <w:lvl w:ilvl="0" w:tplc="D64CCC68">
      <w:start w:val="1"/>
      <w:numFmt w:val="decimal"/>
      <w:lvlText w:val="%1."/>
      <w:lvlJc w:val="left"/>
      <w:pPr>
        <w:tabs>
          <w:tab w:val="num" w:pos="-633"/>
        </w:tabs>
        <w:ind w:left="-633" w:hanging="360"/>
      </w:pPr>
      <w:rPr>
        <w:rFonts w:hint="default"/>
        <w:b/>
      </w:rPr>
    </w:lvl>
    <w:lvl w:ilvl="1" w:tplc="08160019" w:tentative="1">
      <w:start w:val="1"/>
      <w:numFmt w:val="lowerLetter"/>
      <w:lvlText w:val="%2."/>
      <w:lvlJc w:val="left"/>
      <w:pPr>
        <w:tabs>
          <w:tab w:val="num" w:pos="87"/>
        </w:tabs>
        <w:ind w:left="87" w:hanging="360"/>
      </w:pPr>
    </w:lvl>
    <w:lvl w:ilvl="2" w:tplc="0816001B" w:tentative="1">
      <w:start w:val="1"/>
      <w:numFmt w:val="lowerRoman"/>
      <w:lvlText w:val="%3."/>
      <w:lvlJc w:val="right"/>
      <w:pPr>
        <w:tabs>
          <w:tab w:val="num" w:pos="807"/>
        </w:tabs>
        <w:ind w:left="807" w:hanging="180"/>
      </w:pPr>
    </w:lvl>
    <w:lvl w:ilvl="3" w:tplc="0816000F" w:tentative="1">
      <w:start w:val="1"/>
      <w:numFmt w:val="decimal"/>
      <w:lvlText w:val="%4."/>
      <w:lvlJc w:val="left"/>
      <w:pPr>
        <w:tabs>
          <w:tab w:val="num" w:pos="1527"/>
        </w:tabs>
        <w:ind w:left="1527" w:hanging="360"/>
      </w:pPr>
    </w:lvl>
    <w:lvl w:ilvl="4" w:tplc="08160019" w:tentative="1">
      <w:start w:val="1"/>
      <w:numFmt w:val="lowerLetter"/>
      <w:lvlText w:val="%5."/>
      <w:lvlJc w:val="left"/>
      <w:pPr>
        <w:tabs>
          <w:tab w:val="num" w:pos="2247"/>
        </w:tabs>
        <w:ind w:left="2247" w:hanging="360"/>
      </w:pPr>
    </w:lvl>
    <w:lvl w:ilvl="5" w:tplc="0816001B" w:tentative="1">
      <w:start w:val="1"/>
      <w:numFmt w:val="lowerRoman"/>
      <w:lvlText w:val="%6."/>
      <w:lvlJc w:val="right"/>
      <w:pPr>
        <w:tabs>
          <w:tab w:val="num" w:pos="2967"/>
        </w:tabs>
        <w:ind w:left="2967" w:hanging="180"/>
      </w:pPr>
    </w:lvl>
    <w:lvl w:ilvl="6" w:tplc="0816000F" w:tentative="1">
      <w:start w:val="1"/>
      <w:numFmt w:val="decimal"/>
      <w:lvlText w:val="%7."/>
      <w:lvlJc w:val="left"/>
      <w:pPr>
        <w:tabs>
          <w:tab w:val="num" w:pos="3687"/>
        </w:tabs>
        <w:ind w:left="3687" w:hanging="360"/>
      </w:pPr>
    </w:lvl>
    <w:lvl w:ilvl="7" w:tplc="08160019" w:tentative="1">
      <w:start w:val="1"/>
      <w:numFmt w:val="lowerLetter"/>
      <w:lvlText w:val="%8."/>
      <w:lvlJc w:val="left"/>
      <w:pPr>
        <w:tabs>
          <w:tab w:val="num" w:pos="4407"/>
        </w:tabs>
        <w:ind w:left="4407" w:hanging="360"/>
      </w:pPr>
    </w:lvl>
    <w:lvl w:ilvl="8" w:tplc="0816001B" w:tentative="1">
      <w:start w:val="1"/>
      <w:numFmt w:val="lowerRoman"/>
      <w:lvlText w:val="%9."/>
      <w:lvlJc w:val="right"/>
      <w:pPr>
        <w:tabs>
          <w:tab w:val="num" w:pos="5127"/>
        </w:tabs>
        <w:ind w:left="5127" w:hanging="180"/>
      </w:pPr>
    </w:lvl>
  </w:abstractNum>
  <w:abstractNum w:abstractNumId="25" w15:restartNumberingAfterBreak="0">
    <w:nsid w:val="63D660AD"/>
    <w:multiLevelType w:val="hybridMultilevel"/>
    <w:tmpl w:val="9E2CA32A"/>
    <w:lvl w:ilvl="0" w:tplc="DF64AF7C">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737114B4"/>
    <w:multiLevelType w:val="hybridMultilevel"/>
    <w:tmpl w:val="C81A151A"/>
    <w:lvl w:ilvl="0" w:tplc="E1AC221E">
      <w:start w:val="1"/>
      <w:numFmt w:val="bullet"/>
      <w:lvlText w:val="o"/>
      <w:lvlJc w:val="left"/>
      <w:pPr>
        <w:ind w:left="720" w:hanging="360"/>
      </w:pPr>
      <w:rPr>
        <w:rFonts w:ascii="Courier New" w:hAnsi="Courier New" w:cs="Courier New" w:hint="default"/>
        <w:sz w:val="18"/>
        <w:szCs w:val="1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79F20C5F"/>
    <w:multiLevelType w:val="hybridMultilevel"/>
    <w:tmpl w:val="85D4AFD8"/>
    <w:lvl w:ilvl="0" w:tplc="E1AC221E">
      <w:start w:val="1"/>
      <w:numFmt w:val="bullet"/>
      <w:lvlText w:val="o"/>
      <w:lvlJc w:val="left"/>
      <w:pPr>
        <w:ind w:left="720" w:hanging="360"/>
      </w:pPr>
      <w:rPr>
        <w:rFonts w:ascii="Courier New" w:hAnsi="Courier New" w:cs="Courier New" w:hint="default"/>
        <w:sz w:val="18"/>
        <w:szCs w:val="1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26"/>
  </w:num>
  <w:num w:numId="4">
    <w:abstractNumId w:val="3"/>
  </w:num>
  <w:num w:numId="5">
    <w:abstractNumId w:val="27"/>
  </w:num>
  <w:num w:numId="6">
    <w:abstractNumId w:val="0"/>
  </w:num>
  <w:num w:numId="7">
    <w:abstractNumId w:val="12"/>
  </w:num>
  <w:num w:numId="8">
    <w:abstractNumId w:val="23"/>
  </w:num>
  <w:num w:numId="9">
    <w:abstractNumId w:val="6"/>
  </w:num>
  <w:num w:numId="10">
    <w:abstractNumId w:val="4"/>
  </w:num>
  <w:num w:numId="11">
    <w:abstractNumId w:val="10"/>
  </w:num>
  <w:num w:numId="12">
    <w:abstractNumId w:val="20"/>
  </w:num>
  <w:num w:numId="13">
    <w:abstractNumId w:val="2"/>
  </w:num>
  <w:num w:numId="14">
    <w:abstractNumId w:val="25"/>
  </w:num>
  <w:num w:numId="15">
    <w:abstractNumId w:val="7"/>
  </w:num>
  <w:num w:numId="16">
    <w:abstractNumId w:val="19"/>
  </w:num>
  <w:num w:numId="17">
    <w:abstractNumId w:val="13"/>
  </w:num>
  <w:num w:numId="18">
    <w:abstractNumId w:val="8"/>
  </w:num>
  <w:num w:numId="19">
    <w:abstractNumId w:val="18"/>
  </w:num>
  <w:num w:numId="20">
    <w:abstractNumId w:val="15"/>
  </w:num>
  <w:num w:numId="21">
    <w:abstractNumId w:val="9"/>
  </w:num>
  <w:num w:numId="22">
    <w:abstractNumId w:val="22"/>
  </w:num>
  <w:num w:numId="23">
    <w:abstractNumId w:val="16"/>
  </w:num>
  <w:num w:numId="24">
    <w:abstractNumId w:val="5"/>
  </w:num>
  <w:num w:numId="25">
    <w:abstractNumId w:val="14"/>
  </w:num>
  <w:num w:numId="26">
    <w:abstractNumId w:val="11"/>
  </w:num>
  <w:num w:numId="27">
    <w:abstractNumId w:val="1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8E5"/>
    <w:rsid w:val="000020FF"/>
    <w:rsid w:val="00002E0E"/>
    <w:rsid w:val="000030BD"/>
    <w:rsid w:val="000030E7"/>
    <w:rsid w:val="00005A76"/>
    <w:rsid w:val="00006599"/>
    <w:rsid w:val="0000706E"/>
    <w:rsid w:val="00007C03"/>
    <w:rsid w:val="00011344"/>
    <w:rsid w:val="000141F8"/>
    <w:rsid w:val="00026239"/>
    <w:rsid w:val="00026EFF"/>
    <w:rsid w:val="00030C6A"/>
    <w:rsid w:val="00032560"/>
    <w:rsid w:val="00035214"/>
    <w:rsid w:val="00036E28"/>
    <w:rsid w:val="00050E8D"/>
    <w:rsid w:val="00051735"/>
    <w:rsid w:val="000533B3"/>
    <w:rsid w:val="00053F63"/>
    <w:rsid w:val="00060AA1"/>
    <w:rsid w:val="000614FE"/>
    <w:rsid w:val="00061714"/>
    <w:rsid w:val="00062EEF"/>
    <w:rsid w:val="00065E0A"/>
    <w:rsid w:val="00067AD1"/>
    <w:rsid w:val="000733B7"/>
    <w:rsid w:val="000741A4"/>
    <w:rsid w:val="00075D44"/>
    <w:rsid w:val="000763F0"/>
    <w:rsid w:val="0007778B"/>
    <w:rsid w:val="000847AA"/>
    <w:rsid w:val="00086E72"/>
    <w:rsid w:val="00090800"/>
    <w:rsid w:val="00091267"/>
    <w:rsid w:val="000A2EFE"/>
    <w:rsid w:val="000B049E"/>
    <w:rsid w:val="000B3216"/>
    <w:rsid w:val="000B3629"/>
    <w:rsid w:val="000B3879"/>
    <w:rsid w:val="000B430F"/>
    <w:rsid w:val="000B71F1"/>
    <w:rsid w:val="000C492B"/>
    <w:rsid w:val="000C5964"/>
    <w:rsid w:val="000D118C"/>
    <w:rsid w:val="000D1804"/>
    <w:rsid w:val="000D2149"/>
    <w:rsid w:val="000D2EBE"/>
    <w:rsid w:val="000D3F90"/>
    <w:rsid w:val="000D50FA"/>
    <w:rsid w:val="000E09CA"/>
    <w:rsid w:val="000E2F19"/>
    <w:rsid w:val="000E7F96"/>
    <w:rsid w:val="000F2EF1"/>
    <w:rsid w:val="000F426F"/>
    <w:rsid w:val="0010719F"/>
    <w:rsid w:val="00111FCC"/>
    <w:rsid w:val="001142CE"/>
    <w:rsid w:val="00126B6D"/>
    <w:rsid w:val="00133866"/>
    <w:rsid w:val="00134C81"/>
    <w:rsid w:val="001356A2"/>
    <w:rsid w:val="001361F5"/>
    <w:rsid w:val="00136969"/>
    <w:rsid w:val="00137C60"/>
    <w:rsid w:val="001428B9"/>
    <w:rsid w:val="0014339D"/>
    <w:rsid w:val="001453E7"/>
    <w:rsid w:val="00152245"/>
    <w:rsid w:val="001539D5"/>
    <w:rsid w:val="00154778"/>
    <w:rsid w:val="0015492B"/>
    <w:rsid w:val="00155CC0"/>
    <w:rsid w:val="001607C5"/>
    <w:rsid w:val="00162AEE"/>
    <w:rsid w:val="00162BAC"/>
    <w:rsid w:val="00163B7D"/>
    <w:rsid w:val="00165E8B"/>
    <w:rsid w:val="00167D32"/>
    <w:rsid w:val="001746A6"/>
    <w:rsid w:val="00175670"/>
    <w:rsid w:val="00186C2F"/>
    <w:rsid w:val="001879FC"/>
    <w:rsid w:val="00194BBC"/>
    <w:rsid w:val="001959E4"/>
    <w:rsid w:val="00195E21"/>
    <w:rsid w:val="001A2B04"/>
    <w:rsid w:val="001A3155"/>
    <w:rsid w:val="001A34A2"/>
    <w:rsid w:val="001A45C1"/>
    <w:rsid w:val="001A5A1B"/>
    <w:rsid w:val="001B6627"/>
    <w:rsid w:val="001B6AB3"/>
    <w:rsid w:val="001B6BBC"/>
    <w:rsid w:val="001C1B7D"/>
    <w:rsid w:val="001C3C09"/>
    <w:rsid w:val="001C3FD1"/>
    <w:rsid w:val="001D015F"/>
    <w:rsid w:val="001D0ED0"/>
    <w:rsid w:val="001D65D8"/>
    <w:rsid w:val="001E1371"/>
    <w:rsid w:val="001E416D"/>
    <w:rsid w:val="001F439B"/>
    <w:rsid w:val="001F5963"/>
    <w:rsid w:val="001F6673"/>
    <w:rsid w:val="00200481"/>
    <w:rsid w:val="002045C8"/>
    <w:rsid w:val="00205B3F"/>
    <w:rsid w:val="00214629"/>
    <w:rsid w:val="00214A94"/>
    <w:rsid w:val="002252CD"/>
    <w:rsid w:val="002311EF"/>
    <w:rsid w:val="00241361"/>
    <w:rsid w:val="002459EB"/>
    <w:rsid w:val="00247394"/>
    <w:rsid w:val="00247558"/>
    <w:rsid w:val="0024760D"/>
    <w:rsid w:val="00247CF4"/>
    <w:rsid w:val="00250477"/>
    <w:rsid w:val="00250D0D"/>
    <w:rsid w:val="002534E1"/>
    <w:rsid w:val="00253925"/>
    <w:rsid w:val="00256738"/>
    <w:rsid w:val="002576C0"/>
    <w:rsid w:val="002607C6"/>
    <w:rsid w:val="00262EB4"/>
    <w:rsid w:val="00264A26"/>
    <w:rsid w:val="00266801"/>
    <w:rsid w:val="002673B6"/>
    <w:rsid w:val="00270322"/>
    <w:rsid w:val="002710C6"/>
    <w:rsid w:val="002711A3"/>
    <w:rsid w:val="002716DF"/>
    <w:rsid w:val="002719A6"/>
    <w:rsid w:val="00274A41"/>
    <w:rsid w:val="00281DB1"/>
    <w:rsid w:val="00282D21"/>
    <w:rsid w:val="002845E6"/>
    <w:rsid w:val="002852FD"/>
    <w:rsid w:val="00287EF1"/>
    <w:rsid w:val="00291431"/>
    <w:rsid w:val="00296374"/>
    <w:rsid w:val="00297DE8"/>
    <w:rsid w:val="002A261A"/>
    <w:rsid w:val="002A31B3"/>
    <w:rsid w:val="002A358E"/>
    <w:rsid w:val="002A7AED"/>
    <w:rsid w:val="002C0B48"/>
    <w:rsid w:val="002C2B3F"/>
    <w:rsid w:val="002C75C4"/>
    <w:rsid w:val="002D0504"/>
    <w:rsid w:val="002D0C8B"/>
    <w:rsid w:val="002D2E64"/>
    <w:rsid w:val="002E19BD"/>
    <w:rsid w:val="002F06C1"/>
    <w:rsid w:val="002F20B0"/>
    <w:rsid w:val="002F2707"/>
    <w:rsid w:val="002F334E"/>
    <w:rsid w:val="002F50B1"/>
    <w:rsid w:val="002F5621"/>
    <w:rsid w:val="002F70E4"/>
    <w:rsid w:val="003031A2"/>
    <w:rsid w:val="00311043"/>
    <w:rsid w:val="0031151C"/>
    <w:rsid w:val="00314AB9"/>
    <w:rsid w:val="003162A6"/>
    <w:rsid w:val="00317677"/>
    <w:rsid w:val="00317D98"/>
    <w:rsid w:val="00320FA1"/>
    <w:rsid w:val="003230D2"/>
    <w:rsid w:val="00324C10"/>
    <w:rsid w:val="003262A5"/>
    <w:rsid w:val="00327127"/>
    <w:rsid w:val="00327EEF"/>
    <w:rsid w:val="00331851"/>
    <w:rsid w:val="003333B7"/>
    <w:rsid w:val="0033691D"/>
    <w:rsid w:val="003436BE"/>
    <w:rsid w:val="00343E54"/>
    <w:rsid w:val="00344FCD"/>
    <w:rsid w:val="00347AB2"/>
    <w:rsid w:val="0035409F"/>
    <w:rsid w:val="003669B1"/>
    <w:rsid w:val="00370BEA"/>
    <w:rsid w:val="00372FC7"/>
    <w:rsid w:val="0037377D"/>
    <w:rsid w:val="00385548"/>
    <w:rsid w:val="00390CBA"/>
    <w:rsid w:val="0039402F"/>
    <w:rsid w:val="00396288"/>
    <w:rsid w:val="003A0D3B"/>
    <w:rsid w:val="003A161F"/>
    <w:rsid w:val="003A42E4"/>
    <w:rsid w:val="003B2436"/>
    <w:rsid w:val="003B2E64"/>
    <w:rsid w:val="003B3845"/>
    <w:rsid w:val="003B5089"/>
    <w:rsid w:val="003C1285"/>
    <w:rsid w:val="003C5001"/>
    <w:rsid w:val="003E0943"/>
    <w:rsid w:val="003E7D9F"/>
    <w:rsid w:val="003E7FF4"/>
    <w:rsid w:val="003F38D4"/>
    <w:rsid w:val="003F4DC3"/>
    <w:rsid w:val="003F50B1"/>
    <w:rsid w:val="003F5C04"/>
    <w:rsid w:val="003F74AF"/>
    <w:rsid w:val="00401A07"/>
    <w:rsid w:val="00401F4B"/>
    <w:rsid w:val="0040452C"/>
    <w:rsid w:val="00404AE4"/>
    <w:rsid w:val="00407319"/>
    <w:rsid w:val="00413C4D"/>
    <w:rsid w:val="00413C9D"/>
    <w:rsid w:val="00414007"/>
    <w:rsid w:val="004153DB"/>
    <w:rsid w:val="00416917"/>
    <w:rsid w:val="00416DA7"/>
    <w:rsid w:val="004208DD"/>
    <w:rsid w:val="004208DF"/>
    <w:rsid w:val="00426481"/>
    <w:rsid w:val="0044406F"/>
    <w:rsid w:val="0045007B"/>
    <w:rsid w:val="004570CD"/>
    <w:rsid w:val="00457945"/>
    <w:rsid w:val="004627D8"/>
    <w:rsid w:val="00466111"/>
    <w:rsid w:val="004720E3"/>
    <w:rsid w:val="00473C4D"/>
    <w:rsid w:val="004744F3"/>
    <w:rsid w:val="00474CF8"/>
    <w:rsid w:val="004867A5"/>
    <w:rsid w:val="00486EE7"/>
    <w:rsid w:val="004903BE"/>
    <w:rsid w:val="00492881"/>
    <w:rsid w:val="00493A85"/>
    <w:rsid w:val="00496D85"/>
    <w:rsid w:val="004A08D0"/>
    <w:rsid w:val="004A15EE"/>
    <w:rsid w:val="004A29D6"/>
    <w:rsid w:val="004A4F84"/>
    <w:rsid w:val="004A5975"/>
    <w:rsid w:val="004A5B73"/>
    <w:rsid w:val="004A5D6F"/>
    <w:rsid w:val="004A79E4"/>
    <w:rsid w:val="004B1592"/>
    <w:rsid w:val="004B3486"/>
    <w:rsid w:val="004B477F"/>
    <w:rsid w:val="004B4C4B"/>
    <w:rsid w:val="004C4608"/>
    <w:rsid w:val="004D247E"/>
    <w:rsid w:val="004D7876"/>
    <w:rsid w:val="004D7B2C"/>
    <w:rsid w:val="004E3F89"/>
    <w:rsid w:val="005007BD"/>
    <w:rsid w:val="00512F4D"/>
    <w:rsid w:val="005131DC"/>
    <w:rsid w:val="00516508"/>
    <w:rsid w:val="0052184A"/>
    <w:rsid w:val="00526032"/>
    <w:rsid w:val="005302B0"/>
    <w:rsid w:val="00530A8D"/>
    <w:rsid w:val="00535EFC"/>
    <w:rsid w:val="00541FC7"/>
    <w:rsid w:val="005426CF"/>
    <w:rsid w:val="005448A6"/>
    <w:rsid w:val="00547B1D"/>
    <w:rsid w:val="0055364A"/>
    <w:rsid w:val="00562FFA"/>
    <w:rsid w:val="00563895"/>
    <w:rsid w:val="00564124"/>
    <w:rsid w:val="00573A6C"/>
    <w:rsid w:val="005776C1"/>
    <w:rsid w:val="0058005D"/>
    <w:rsid w:val="00583EA6"/>
    <w:rsid w:val="00584FC7"/>
    <w:rsid w:val="0058549B"/>
    <w:rsid w:val="00586C7C"/>
    <w:rsid w:val="0059289E"/>
    <w:rsid w:val="0059617F"/>
    <w:rsid w:val="005979B0"/>
    <w:rsid w:val="005A2486"/>
    <w:rsid w:val="005A30AE"/>
    <w:rsid w:val="005A5B24"/>
    <w:rsid w:val="005B4EEB"/>
    <w:rsid w:val="005B4FF3"/>
    <w:rsid w:val="005C03AF"/>
    <w:rsid w:val="005C15D5"/>
    <w:rsid w:val="005C1D6C"/>
    <w:rsid w:val="005C1DFA"/>
    <w:rsid w:val="005C49BE"/>
    <w:rsid w:val="005C5733"/>
    <w:rsid w:val="005D2929"/>
    <w:rsid w:val="005D3FAB"/>
    <w:rsid w:val="005D4217"/>
    <w:rsid w:val="005E66D2"/>
    <w:rsid w:val="005E7489"/>
    <w:rsid w:val="005F1369"/>
    <w:rsid w:val="005F2062"/>
    <w:rsid w:val="005F6186"/>
    <w:rsid w:val="005F6D94"/>
    <w:rsid w:val="005F79A2"/>
    <w:rsid w:val="00602730"/>
    <w:rsid w:val="00606297"/>
    <w:rsid w:val="00606C06"/>
    <w:rsid w:val="0060728F"/>
    <w:rsid w:val="006079F4"/>
    <w:rsid w:val="006101CE"/>
    <w:rsid w:val="006132C1"/>
    <w:rsid w:val="00614E17"/>
    <w:rsid w:val="00620179"/>
    <w:rsid w:val="00620918"/>
    <w:rsid w:val="006218B9"/>
    <w:rsid w:val="006234E3"/>
    <w:rsid w:val="00632827"/>
    <w:rsid w:val="00636CE1"/>
    <w:rsid w:val="006408A2"/>
    <w:rsid w:val="006464C3"/>
    <w:rsid w:val="0064696D"/>
    <w:rsid w:val="00653033"/>
    <w:rsid w:val="00654B85"/>
    <w:rsid w:val="00657A76"/>
    <w:rsid w:val="00672103"/>
    <w:rsid w:val="006724DB"/>
    <w:rsid w:val="00673DF7"/>
    <w:rsid w:val="00673F1D"/>
    <w:rsid w:val="00674A8A"/>
    <w:rsid w:val="00676400"/>
    <w:rsid w:val="0068134F"/>
    <w:rsid w:val="00681872"/>
    <w:rsid w:val="00681CAF"/>
    <w:rsid w:val="0068322A"/>
    <w:rsid w:val="00690464"/>
    <w:rsid w:val="0069163B"/>
    <w:rsid w:val="0069210A"/>
    <w:rsid w:val="00692913"/>
    <w:rsid w:val="00692B64"/>
    <w:rsid w:val="00694AAA"/>
    <w:rsid w:val="00694E32"/>
    <w:rsid w:val="0069645C"/>
    <w:rsid w:val="00697FC3"/>
    <w:rsid w:val="006A02AE"/>
    <w:rsid w:val="006A1539"/>
    <w:rsid w:val="006A17C9"/>
    <w:rsid w:val="006A3789"/>
    <w:rsid w:val="006A56E9"/>
    <w:rsid w:val="006B0EC5"/>
    <w:rsid w:val="006B780D"/>
    <w:rsid w:val="006C0C91"/>
    <w:rsid w:val="006C1EFE"/>
    <w:rsid w:val="006C25D3"/>
    <w:rsid w:val="006C339F"/>
    <w:rsid w:val="006C54A0"/>
    <w:rsid w:val="006C6D35"/>
    <w:rsid w:val="006C7730"/>
    <w:rsid w:val="006D0270"/>
    <w:rsid w:val="006D191D"/>
    <w:rsid w:val="006D387E"/>
    <w:rsid w:val="006D452D"/>
    <w:rsid w:val="006E0B92"/>
    <w:rsid w:val="006E1F93"/>
    <w:rsid w:val="006E4BBD"/>
    <w:rsid w:val="006F0937"/>
    <w:rsid w:val="006F2283"/>
    <w:rsid w:val="0070074D"/>
    <w:rsid w:val="00705862"/>
    <w:rsid w:val="00707666"/>
    <w:rsid w:val="00710B95"/>
    <w:rsid w:val="007138B3"/>
    <w:rsid w:val="00713F20"/>
    <w:rsid w:val="00717BBA"/>
    <w:rsid w:val="007204A6"/>
    <w:rsid w:val="0072290D"/>
    <w:rsid w:val="007244EB"/>
    <w:rsid w:val="0072763C"/>
    <w:rsid w:val="00733E84"/>
    <w:rsid w:val="007350BE"/>
    <w:rsid w:val="00751073"/>
    <w:rsid w:val="0075478E"/>
    <w:rsid w:val="007554F4"/>
    <w:rsid w:val="00757609"/>
    <w:rsid w:val="007576A9"/>
    <w:rsid w:val="0076173F"/>
    <w:rsid w:val="007618EC"/>
    <w:rsid w:val="00764ECB"/>
    <w:rsid w:val="007657D9"/>
    <w:rsid w:val="007661AC"/>
    <w:rsid w:val="00770481"/>
    <w:rsid w:val="007711BA"/>
    <w:rsid w:val="00771AEE"/>
    <w:rsid w:val="00773A5E"/>
    <w:rsid w:val="007819ED"/>
    <w:rsid w:val="00781ACA"/>
    <w:rsid w:val="00784FB8"/>
    <w:rsid w:val="0078775D"/>
    <w:rsid w:val="00790967"/>
    <w:rsid w:val="00791CFB"/>
    <w:rsid w:val="00792729"/>
    <w:rsid w:val="00793403"/>
    <w:rsid w:val="007A08C0"/>
    <w:rsid w:val="007A369E"/>
    <w:rsid w:val="007A53BD"/>
    <w:rsid w:val="007A5A9F"/>
    <w:rsid w:val="007A6957"/>
    <w:rsid w:val="007B5A03"/>
    <w:rsid w:val="007B5BCD"/>
    <w:rsid w:val="007C139D"/>
    <w:rsid w:val="007C6C68"/>
    <w:rsid w:val="007C7846"/>
    <w:rsid w:val="007C799F"/>
    <w:rsid w:val="007C7DE9"/>
    <w:rsid w:val="007D3EDD"/>
    <w:rsid w:val="007D5EFB"/>
    <w:rsid w:val="007F3BCD"/>
    <w:rsid w:val="007F511E"/>
    <w:rsid w:val="00801A87"/>
    <w:rsid w:val="008020A9"/>
    <w:rsid w:val="00804FF8"/>
    <w:rsid w:val="008136E9"/>
    <w:rsid w:val="00817096"/>
    <w:rsid w:val="0082168F"/>
    <w:rsid w:val="00833B46"/>
    <w:rsid w:val="00833D68"/>
    <w:rsid w:val="00840770"/>
    <w:rsid w:val="0084655A"/>
    <w:rsid w:val="008475E8"/>
    <w:rsid w:val="00852B60"/>
    <w:rsid w:val="00853E06"/>
    <w:rsid w:val="00854FC2"/>
    <w:rsid w:val="008644D7"/>
    <w:rsid w:val="00871B18"/>
    <w:rsid w:val="00871B56"/>
    <w:rsid w:val="00880B4A"/>
    <w:rsid w:val="00882801"/>
    <w:rsid w:val="00882C64"/>
    <w:rsid w:val="00887D46"/>
    <w:rsid w:val="00891A79"/>
    <w:rsid w:val="00893111"/>
    <w:rsid w:val="00896614"/>
    <w:rsid w:val="0089770A"/>
    <w:rsid w:val="008A1EEA"/>
    <w:rsid w:val="008A2978"/>
    <w:rsid w:val="008A32B3"/>
    <w:rsid w:val="008B0163"/>
    <w:rsid w:val="008B144C"/>
    <w:rsid w:val="008B6A0E"/>
    <w:rsid w:val="008B76EB"/>
    <w:rsid w:val="008C2AFC"/>
    <w:rsid w:val="008C4255"/>
    <w:rsid w:val="008C7ED9"/>
    <w:rsid w:val="008D3D19"/>
    <w:rsid w:val="008D7486"/>
    <w:rsid w:val="008D75CD"/>
    <w:rsid w:val="008E24DE"/>
    <w:rsid w:val="008E7899"/>
    <w:rsid w:val="008F4E3B"/>
    <w:rsid w:val="00900012"/>
    <w:rsid w:val="00901090"/>
    <w:rsid w:val="00902130"/>
    <w:rsid w:val="009107B4"/>
    <w:rsid w:val="00911131"/>
    <w:rsid w:val="0091304F"/>
    <w:rsid w:val="00916B97"/>
    <w:rsid w:val="00917030"/>
    <w:rsid w:val="00921839"/>
    <w:rsid w:val="00923B9C"/>
    <w:rsid w:val="00923C04"/>
    <w:rsid w:val="00924127"/>
    <w:rsid w:val="00924BC4"/>
    <w:rsid w:val="0092653B"/>
    <w:rsid w:val="00935B74"/>
    <w:rsid w:val="00937163"/>
    <w:rsid w:val="00941457"/>
    <w:rsid w:val="00942BD9"/>
    <w:rsid w:val="009452AB"/>
    <w:rsid w:val="00947B98"/>
    <w:rsid w:val="00954FCB"/>
    <w:rsid w:val="009551F6"/>
    <w:rsid w:val="00957456"/>
    <w:rsid w:val="009578C2"/>
    <w:rsid w:val="009605AD"/>
    <w:rsid w:val="00961654"/>
    <w:rsid w:val="00964E78"/>
    <w:rsid w:val="0098492A"/>
    <w:rsid w:val="00984F64"/>
    <w:rsid w:val="00992767"/>
    <w:rsid w:val="00995E01"/>
    <w:rsid w:val="00996AE6"/>
    <w:rsid w:val="009A3EDF"/>
    <w:rsid w:val="009B0758"/>
    <w:rsid w:val="009B1D38"/>
    <w:rsid w:val="009B204C"/>
    <w:rsid w:val="009C03A3"/>
    <w:rsid w:val="009C1421"/>
    <w:rsid w:val="009C1CC9"/>
    <w:rsid w:val="009C6BF6"/>
    <w:rsid w:val="009D07E6"/>
    <w:rsid w:val="009F5AFC"/>
    <w:rsid w:val="009F69E5"/>
    <w:rsid w:val="00A0210F"/>
    <w:rsid w:val="00A100BC"/>
    <w:rsid w:val="00A10808"/>
    <w:rsid w:val="00A11BCD"/>
    <w:rsid w:val="00A12802"/>
    <w:rsid w:val="00A12A06"/>
    <w:rsid w:val="00A22212"/>
    <w:rsid w:val="00A31C62"/>
    <w:rsid w:val="00A33855"/>
    <w:rsid w:val="00A34069"/>
    <w:rsid w:val="00A3601C"/>
    <w:rsid w:val="00A368EF"/>
    <w:rsid w:val="00A4089B"/>
    <w:rsid w:val="00A41DF6"/>
    <w:rsid w:val="00A41EF3"/>
    <w:rsid w:val="00A42D62"/>
    <w:rsid w:val="00A4336E"/>
    <w:rsid w:val="00A46C20"/>
    <w:rsid w:val="00A46F9D"/>
    <w:rsid w:val="00A47433"/>
    <w:rsid w:val="00A50050"/>
    <w:rsid w:val="00A50D80"/>
    <w:rsid w:val="00A51E96"/>
    <w:rsid w:val="00A5372F"/>
    <w:rsid w:val="00A57CA5"/>
    <w:rsid w:val="00A63670"/>
    <w:rsid w:val="00A65A6A"/>
    <w:rsid w:val="00A72294"/>
    <w:rsid w:val="00A76BAE"/>
    <w:rsid w:val="00A816B0"/>
    <w:rsid w:val="00A82A12"/>
    <w:rsid w:val="00A85FFF"/>
    <w:rsid w:val="00A90D4E"/>
    <w:rsid w:val="00A940BD"/>
    <w:rsid w:val="00A9603D"/>
    <w:rsid w:val="00A965C7"/>
    <w:rsid w:val="00AA0F73"/>
    <w:rsid w:val="00AA3F15"/>
    <w:rsid w:val="00AB28FF"/>
    <w:rsid w:val="00AB4642"/>
    <w:rsid w:val="00AB5C87"/>
    <w:rsid w:val="00AB6464"/>
    <w:rsid w:val="00AB70C1"/>
    <w:rsid w:val="00AC0BFA"/>
    <w:rsid w:val="00AC5F51"/>
    <w:rsid w:val="00AE1036"/>
    <w:rsid w:val="00AE28FD"/>
    <w:rsid w:val="00AF0734"/>
    <w:rsid w:val="00AF0DA1"/>
    <w:rsid w:val="00AF31DD"/>
    <w:rsid w:val="00AF4F2E"/>
    <w:rsid w:val="00AF6082"/>
    <w:rsid w:val="00B06977"/>
    <w:rsid w:val="00B12E10"/>
    <w:rsid w:val="00B1338A"/>
    <w:rsid w:val="00B14F73"/>
    <w:rsid w:val="00B1696E"/>
    <w:rsid w:val="00B239DC"/>
    <w:rsid w:val="00B27E3F"/>
    <w:rsid w:val="00B31141"/>
    <w:rsid w:val="00B35DA6"/>
    <w:rsid w:val="00B36B49"/>
    <w:rsid w:val="00B379B1"/>
    <w:rsid w:val="00B41A45"/>
    <w:rsid w:val="00B42086"/>
    <w:rsid w:val="00B43BF7"/>
    <w:rsid w:val="00B5645A"/>
    <w:rsid w:val="00B568ED"/>
    <w:rsid w:val="00B611A0"/>
    <w:rsid w:val="00B630D8"/>
    <w:rsid w:val="00B64603"/>
    <w:rsid w:val="00B65DC0"/>
    <w:rsid w:val="00B67D94"/>
    <w:rsid w:val="00B715CF"/>
    <w:rsid w:val="00B716B9"/>
    <w:rsid w:val="00B73373"/>
    <w:rsid w:val="00B80272"/>
    <w:rsid w:val="00B818E5"/>
    <w:rsid w:val="00B87D38"/>
    <w:rsid w:val="00B92000"/>
    <w:rsid w:val="00B95BF6"/>
    <w:rsid w:val="00B964EB"/>
    <w:rsid w:val="00B97E18"/>
    <w:rsid w:val="00BA0030"/>
    <w:rsid w:val="00BA1DB5"/>
    <w:rsid w:val="00BA2890"/>
    <w:rsid w:val="00BA2CF8"/>
    <w:rsid w:val="00BA6395"/>
    <w:rsid w:val="00BB4C51"/>
    <w:rsid w:val="00BC2C1A"/>
    <w:rsid w:val="00BC3E75"/>
    <w:rsid w:val="00BD0953"/>
    <w:rsid w:val="00BD6753"/>
    <w:rsid w:val="00BD72E4"/>
    <w:rsid w:val="00BE4492"/>
    <w:rsid w:val="00BF20F0"/>
    <w:rsid w:val="00BF255C"/>
    <w:rsid w:val="00C04769"/>
    <w:rsid w:val="00C04D5D"/>
    <w:rsid w:val="00C057E4"/>
    <w:rsid w:val="00C25AD5"/>
    <w:rsid w:val="00C25DE3"/>
    <w:rsid w:val="00C2768A"/>
    <w:rsid w:val="00C312E4"/>
    <w:rsid w:val="00C35A49"/>
    <w:rsid w:val="00C36CCF"/>
    <w:rsid w:val="00C37F8E"/>
    <w:rsid w:val="00C41A1F"/>
    <w:rsid w:val="00C444E2"/>
    <w:rsid w:val="00C449E4"/>
    <w:rsid w:val="00C50757"/>
    <w:rsid w:val="00C507BD"/>
    <w:rsid w:val="00C509FE"/>
    <w:rsid w:val="00C52F2D"/>
    <w:rsid w:val="00C53CA7"/>
    <w:rsid w:val="00C61D08"/>
    <w:rsid w:val="00C62A88"/>
    <w:rsid w:val="00C662BC"/>
    <w:rsid w:val="00C6694C"/>
    <w:rsid w:val="00C70B73"/>
    <w:rsid w:val="00C73CBC"/>
    <w:rsid w:val="00C83777"/>
    <w:rsid w:val="00C8707C"/>
    <w:rsid w:val="00C87BC8"/>
    <w:rsid w:val="00C92F85"/>
    <w:rsid w:val="00C92F90"/>
    <w:rsid w:val="00C96AAB"/>
    <w:rsid w:val="00C96D8C"/>
    <w:rsid w:val="00CA0645"/>
    <w:rsid w:val="00CA5ED1"/>
    <w:rsid w:val="00CB24AD"/>
    <w:rsid w:val="00CB4451"/>
    <w:rsid w:val="00CB52DC"/>
    <w:rsid w:val="00CB6011"/>
    <w:rsid w:val="00CB6FEE"/>
    <w:rsid w:val="00CC0513"/>
    <w:rsid w:val="00CC1E29"/>
    <w:rsid w:val="00CC2570"/>
    <w:rsid w:val="00CC6738"/>
    <w:rsid w:val="00CD1746"/>
    <w:rsid w:val="00CD6BE9"/>
    <w:rsid w:val="00CD6F72"/>
    <w:rsid w:val="00CD7D2A"/>
    <w:rsid w:val="00CE2F8D"/>
    <w:rsid w:val="00CE4ADD"/>
    <w:rsid w:val="00CF1A9A"/>
    <w:rsid w:val="00CF2851"/>
    <w:rsid w:val="00CF31BE"/>
    <w:rsid w:val="00CF73C8"/>
    <w:rsid w:val="00CF75B3"/>
    <w:rsid w:val="00D02654"/>
    <w:rsid w:val="00D046C7"/>
    <w:rsid w:val="00D10BD2"/>
    <w:rsid w:val="00D11ACD"/>
    <w:rsid w:val="00D12510"/>
    <w:rsid w:val="00D12BEC"/>
    <w:rsid w:val="00D13B7E"/>
    <w:rsid w:val="00D21CF5"/>
    <w:rsid w:val="00D25E46"/>
    <w:rsid w:val="00D26769"/>
    <w:rsid w:val="00D308C6"/>
    <w:rsid w:val="00D42683"/>
    <w:rsid w:val="00D4393D"/>
    <w:rsid w:val="00D461FF"/>
    <w:rsid w:val="00D5063A"/>
    <w:rsid w:val="00D53C6A"/>
    <w:rsid w:val="00D67FA1"/>
    <w:rsid w:val="00D808B2"/>
    <w:rsid w:val="00D8157B"/>
    <w:rsid w:val="00D85944"/>
    <w:rsid w:val="00D87BE4"/>
    <w:rsid w:val="00D94446"/>
    <w:rsid w:val="00D945B9"/>
    <w:rsid w:val="00D969CA"/>
    <w:rsid w:val="00D9716C"/>
    <w:rsid w:val="00DA1FCE"/>
    <w:rsid w:val="00DA44C6"/>
    <w:rsid w:val="00DB11D4"/>
    <w:rsid w:val="00DB2F2B"/>
    <w:rsid w:val="00DC1426"/>
    <w:rsid w:val="00DC1688"/>
    <w:rsid w:val="00DC3DBF"/>
    <w:rsid w:val="00DD1BED"/>
    <w:rsid w:val="00DD26A7"/>
    <w:rsid w:val="00DD6E77"/>
    <w:rsid w:val="00DD7FE5"/>
    <w:rsid w:val="00DE0010"/>
    <w:rsid w:val="00DE14B1"/>
    <w:rsid w:val="00DE25DF"/>
    <w:rsid w:val="00DF389A"/>
    <w:rsid w:val="00DF73EB"/>
    <w:rsid w:val="00E00DA8"/>
    <w:rsid w:val="00E010AD"/>
    <w:rsid w:val="00E02BCD"/>
    <w:rsid w:val="00E02C75"/>
    <w:rsid w:val="00E037B8"/>
    <w:rsid w:val="00E05164"/>
    <w:rsid w:val="00E21D6A"/>
    <w:rsid w:val="00E235BB"/>
    <w:rsid w:val="00E25475"/>
    <w:rsid w:val="00E25508"/>
    <w:rsid w:val="00E37E1E"/>
    <w:rsid w:val="00E40D4A"/>
    <w:rsid w:val="00E427A3"/>
    <w:rsid w:val="00E462C9"/>
    <w:rsid w:val="00E5029A"/>
    <w:rsid w:val="00E529EE"/>
    <w:rsid w:val="00E5527F"/>
    <w:rsid w:val="00E56393"/>
    <w:rsid w:val="00E579D5"/>
    <w:rsid w:val="00E57D8C"/>
    <w:rsid w:val="00E60F6D"/>
    <w:rsid w:val="00E66B62"/>
    <w:rsid w:val="00E7110E"/>
    <w:rsid w:val="00E73578"/>
    <w:rsid w:val="00E74965"/>
    <w:rsid w:val="00E852F9"/>
    <w:rsid w:val="00E93D32"/>
    <w:rsid w:val="00E95052"/>
    <w:rsid w:val="00E959A3"/>
    <w:rsid w:val="00E96677"/>
    <w:rsid w:val="00E97EC1"/>
    <w:rsid w:val="00EA30BD"/>
    <w:rsid w:val="00EA5B5D"/>
    <w:rsid w:val="00EB001F"/>
    <w:rsid w:val="00EB034A"/>
    <w:rsid w:val="00EB305F"/>
    <w:rsid w:val="00EB7400"/>
    <w:rsid w:val="00EC1210"/>
    <w:rsid w:val="00ED226F"/>
    <w:rsid w:val="00EE1E6A"/>
    <w:rsid w:val="00EE2196"/>
    <w:rsid w:val="00EF571E"/>
    <w:rsid w:val="00EF57B1"/>
    <w:rsid w:val="00EF6665"/>
    <w:rsid w:val="00EF6779"/>
    <w:rsid w:val="00EF6CD8"/>
    <w:rsid w:val="00F017A5"/>
    <w:rsid w:val="00F0236E"/>
    <w:rsid w:val="00F12110"/>
    <w:rsid w:val="00F154B0"/>
    <w:rsid w:val="00F16F94"/>
    <w:rsid w:val="00F20288"/>
    <w:rsid w:val="00F233DB"/>
    <w:rsid w:val="00F24E5E"/>
    <w:rsid w:val="00F25F88"/>
    <w:rsid w:val="00F32319"/>
    <w:rsid w:val="00F40165"/>
    <w:rsid w:val="00F43B94"/>
    <w:rsid w:val="00F515B3"/>
    <w:rsid w:val="00F518BC"/>
    <w:rsid w:val="00F52A93"/>
    <w:rsid w:val="00F53541"/>
    <w:rsid w:val="00F57C3D"/>
    <w:rsid w:val="00F57FBB"/>
    <w:rsid w:val="00F62A5C"/>
    <w:rsid w:val="00F66A56"/>
    <w:rsid w:val="00F71064"/>
    <w:rsid w:val="00F7140D"/>
    <w:rsid w:val="00F747C6"/>
    <w:rsid w:val="00F74A99"/>
    <w:rsid w:val="00F81F5B"/>
    <w:rsid w:val="00F82C5A"/>
    <w:rsid w:val="00F82DC4"/>
    <w:rsid w:val="00F8400D"/>
    <w:rsid w:val="00FA40FC"/>
    <w:rsid w:val="00FA494C"/>
    <w:rsid w:val="00FA7D15"/>
    <w:rsid w:val="00FB31A9"/>
    <w:rsid w:val="00FB4265"/>
    <w:rsid w:val="00FB6105"/>
    <w:rsid w:val="00FC33A2"/>
    <w:rsid w:val="00FC4939"/>
    <w:rsid w:val="00FC6A53"/>
    <w:rsid w:val="00FD378D"/>
    <w:rsid w:val="00FD6161"/>
    <w:rsid w:val="00FE4AD3"/>
    <w:rsid w:val="00FE4B31"/>
    <w:rsid w:val="00FE4D62"/>
    <w:rsid w:val="00FE4E60"/>
    <w:rsid w:val="00FE6CD9"/>
    <w:rsid w:val="00FF23BE"/>
    <w:rsid w:val="00FF2DF1"/>
    <w:rsid w:val="00FF366A"/>
    <w:rsid w:val="00FF41F5"/>
    <w:rsid w:val="00FF667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shapelayout v:ext="edit">
      <o:idmap v:ext="edit" data="1"/>
    </o:shapelayout>
  </w:shapeDefaults>
  <w:decimalSymbol w:val=","/>
  <w:listSeparator w:val=";"/>
  <w14:docId w14:val="7B2E0363"/>
  <w15:chartTrackingRefBased/>
  <w15:docId w15:val="{FD41BAFB-BFDA-4F8D-83A9-C4D23E51E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8E5"/>
    <w:pPr>
      <w:widowControl w:val="0"/>
    </w:pPr>
  </w:style>
  <w:style w:type="paragraph" w:styleId="Cabealho1">
    <w:name w:val="heading 1"/>
    <w:basedOn w:val="Normal"/>
    <w:next w:val="Normal"/>
    <w:qFormat/>
    <w:rsid w:val="00B818E5"/>
    <w:pPr>
      <w:keepNext/>
      <w:jc w:val="center"/>
      <w:outlineLvl w:val="0"/>
    </w:pPr>
    <w:rPr>
      <w:sz w:val="24"/>
    </w:rPr>
  </w:style>
  <w:style w:type="paragraph" w:styleId="Cabealho3">
    <w:name w:val="heading 3"/>
    <w:basedOn w:val="Normal"/>
    <w:next w:val="Normal"/>
    <w:link w:val="Cabealho3Carter"/>
    <w:semiHidden/>
    <w:unhideWhenUsed/>
    <w:qFormat/>
    <w:rsid w:val="00390CBA"/>
    <w:pPr>
      <w:keepNext/>
      <w:spacing w:before="240" w:after="60"/>
      <w:outlineLvl w:val="2"/>
    </w:pPr>
    <w:rPr>
      <w:rFonts w:ascii="Calibri Light" w:hAnsi="Calibri Light"/>
      <w:b/>
      <w:bCs/>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B818E5"/>
    <w:pPr>
      <w:tabs>
        <w:tab w:val="center" w:pos="4252"/>
        <w:tab w:val="right" w:pos="8504"/>
      </w:tabs>
    </w:pPr>
  </w:style>
  <w:style w:type="paragraph" w:styleId="Rodap">
    <w:name w:val="footer"/>
    <w:basedOn w:val="Normal"/>
    <w:link w:val="RodapCarter"/>
    <w:uiPriority w:val="99"/>
    <w:rsid w:val="00B818E5"/>
    <w:pPr>
      <w:tabs>
        <w:tab w:val="center" w:pos="4252"/>
        <w:tab w:val="right" w:pos="8504"/>
      </w:tabs>
    </w:pPr>
  </w:style>
  <w:style w:type="paragraph" w:styleId="Corpodetexto2">
    <w:name w:val="Body Text 2"/>
    <w:basedOn w:val="Normal"/>
    <w:link w:val="Corpodetexto2Carter"/>
    <w:rsid w:val="00B818E5"/>
    <w:pPr>
      <w:tabs>
        <w:tab w:val="left" w:pos="-142"/>
        <w:tab w:val="left" w:pos="1134"/>
      </w:tabs>
      <w:spacing w:line="480" w:lineRule="auto"/>
      <w:jc w:val="both"/>
    </w:pPr>
    <w:rPr>
      <w:rFonts w:ascii="Arial" w:hAnsi="Arial"/>
      <w:sz w:val="22"/>
    </w:rPr>
  </w:style>
  <w:style w:type="paragraph" w:styleId="Avanodecorpodetexto">
    <w:name w:val="Body Text Indent"/>
    <w:basedOn w:val="Normal"/>
    <w:rsid w:val="00B818E5"/>
    <w:pPr>
      <w:tabs>
        <w:tab w:val="left" w:pos="567"/>
        <w:tab w:val="left" w:pos="1134"/>
      </w:tabs>
      <w:ind w:left="-993"/>
      <w:jc w:val="both"/>
    </w:pPr>
    <w:rPr>
      <w:rFonts w:ascii="Arial" w:hAnsi="Arial"/>
    </w:rPr>
  </w:style>
  <w:style w:type="character" w:styleId="Hiperligao">
    <w:name w:val="Hyperlink"/>
    <w:rsid w:val="00B818E5"/>
    <w:rPr>
      <w:color w:val="0000FF"/>
      <w:u w:val="single"/>
    </w:rPr>
  </w:style>
  <w:style w:type="table" w:styleId="Tabelacomgrelha">
    <w:name w:val="Table Grid"/>
    <w:basedOn w:val="Tabelanormal"/>
    <w:rsid w:val="00586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14629"/>
    <w:pPr>
      <w:ind w:left="720"/>
      <w:contextualSpacing/>
    </w:pPr>
  </w:style>
  <w:style w:type="paragraph" w:styleId="Textodebalo">
    <w:name w:val="Balloon Text"/>
    <w:basedOn w:val="Normal"/>
    <w:link w:val="TextodebaloCarter"/>
    <w:semiHidden/>
    <w:unhideWhenUsed/>
    <w:rsid w:val="00253925"/>
    <w:rPr>
      <w:rFonts w:ascii="Segoe UI" w:hAnsi="Segoe UI" w:cs="Segoe UI"/>
      <w:sz w:val="18"/>
      <w:szCs w:val="18"/>
    </w:rPr>
  </w:style>
  <w:style w:type="character" w:customStyle="1" w:styleId="TextodebaloCarter">
    <w:name w:val="Texto de balão Caráter"/>
    <w:link w:val="Textodebalo"/>
    <w:semiHidden/>
    <w:rsid w:val="00253925"/>
    <w:rPr>
      <w:rFonts w:ascii="Segoe UI" w:hAnsi="Segoe UI" w:cs="Segoe UI"/>
      <w:sz w:val="18"/>
      <w:szCs w:val="18"/>
    </w:rPr>
  </w:style>
  <w:style w:type="paragraph" w:customStyle="1" w:styleId="DecimalAligned">
    <w:name w:val="Decimal Aligned"/>
    <w:basedOn w:val="Normal"/>
    <w:uiPriority w:val="40"/>
    <w:qFormat/>
    <w:rsid w:val="000D2149"/>
    <w:pPr>
      <w:widowControl/>
      <w:tabs>
        <w:tab w:val="decimal" w:pos="360"/>
      </w:tabs>
      <w:spacing w:after="200" w:line="276" w:lineRule="auto"/>
    </w:pPr>
    <w:rPr>
      <w:rFonts w:ascii="Calibri" w:hAnsi="Calibri"/>
      <w:sz w:val="22"/>
      <w:szCs w:val="22"/>
    </w:rPr>
  </w:style>
  <w:style w:type="paragraph" w:styleId="Textodenotaderodap">
    <w:name w:val="footnote text"/>
    <w:basedOn w:val="Normal"/>
    <w:link w:val="TextodenotaderodapCarter"/>
    <w:uiPriority w:val="99"/>
    <w:unhideWhenUsed/>
    <w:rsid w:val="000D2149"/>
    <w:pPr>
      <w:widowControl/>
    </w:pPr>
    <w:rPr>
      <w:rFonts w:ascii="Calibri" w:hAnsi="Calibri"/>
    </w:rPr>
  </w:style>
  <w:style w:type="character" w:customStyle="1" w:styleId="TextodenotaderodapCarter">
    <w:name w:val="Texto de nota de rodapé Caráter"/>
    <w:link w:val="Textodenotaderodap"/>
    <w:uiPriority w:val="99"/>
    <w:rsid w:val="000D2149"/>
    <w:rPr>
      <w:rFonts w:ascii="Calibri" w:eastAsia="Times New Roman" w:hAnsi="Calibri"/>
    </w:rPr>
  </w:style>
  <w:style w:type="character" w:styleId="nfaseDiscreto">
    <w:name w:val="Subtle Emphasis"/>
    <w:uiPriority w:val="19"/>
    <w:qFormat/>
    <w:rsid w:val="000D2149"/>
    <w:rPr>
      <w:i/>
      <w:iCs/>
    </w:rPr>
  </w:style>
  <w:style w:type="table" w:styleId="SombreadoClaro-Cor1">
    <w:name w:val="Light Shading Accent 1"/>
    <w:basedOn w:val="Tabelanormal"/>
    <w:uiPriority w:val="60"/>
    <w:rsid w:val="000D2149"/>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t">
    <w:name w:val="st"/>
    <w:basedOn w:val="Tipodeletrapredefinidodopargrafo"/>
    <w:rsid w:val="00923C04"/>
  </w:style>
  <w:style w:type="character" w:styleId="nfase">
    <w:name w:val="Emphasis"/>
    <w:uiPriority w:val="20"/>
    <w:qFormat/>
    <w:rsid w:val="00923C04"/>
    <w:rPr>
      <w:i/>
      <w:iCs/>
    </w:rPr>
  </w:style>
  <w:style w:type="paragraph" w:styleId="Ttulo">
    <w:name w:val="Title"/>
    <w:basedOn w:val="Normal"/>
    <w:next w:val="Normal"/>
    <w:link w:val="TtuloCarter"/>
    <w:uiPriority w:val="10"/>
    <w:qFormat/>
    <w:rsid w:val="00165E8B"/>
    <w:pPr>
      <w:widowControl/>
      <w:spacing w:line="216" w:lineRule="auto"/>
      <w:contextualSpacing/>
    </w:pPr>
    <w:rPr>
      <w:rFonts w:ascii="Cambria" w:hAnsi="Cambria"/>
      <w:color w:val="404040"/>
      <w:spacing w:val="-10"/>
      <w:kern w:val="28"/>
      <w:sz w:val="56"/>
      <w:szCs w:val="56"/>
    </w:rPr>
  </w:style>
  <w:style w:type="character" w:customStyle="1" w:styleId="TtuloCarter">
    <w:name w:val="Título Caráter"/>
    <w:link w:val="Ttulo"/>
    <w:uiPriority w:val="10"/>
    <w:rsid w:val="00165E8B"/>
    <w:rPr>
      <w:rFonts w:ascii="Cambria" w:eastAsia="Times New Roman" w:hAnsi="Cambria" w:cs="Times New Roman"/>
      <w:color w:val="404040"/>
      <w:spacing w:val="-10"/>
      <w:kern w:val="28"/>
      <w:sz w:val="56"/>
      <w:szCs w:val="56"/>
    </w:rPr>
  </w:style>
  <w:style w:type="paragraph" w:styleId="Subttulo">
    <w:name w:val="Subtitle"/>
    <w:basedOn w:val="Normal"/>
    <w:next w:val="Normal"/>
    <w:link w:val="SubttuloCarter"/>
    <w:uiPriority w:val="11"/>
    <w:qFormat/>
    <w:rsid w:val="00165E8B"/>
    <w:pPr>
      <w:widowControl/>
      <w:numPr>
        <w:ilvl w:val="1"/>
      </w:numPr>
      <w:spacing w:after="160" w:line="259" w:lineRule="auto"/>
    </w:pPr>
    <w:rPr>
      <w:rFonts w:ascii="Calibri" w:hAnsi="Calibri"/>
      <w:color w:val="5A5A5A"/>
      <w:spacing w:val="15"/>
      <w:sz w:val="22"/>
      <w:szCs w:val="22"/>
    </w:rPr>
  </w:style>
  <w:style w:type="character" w:customStyle="1" w:styleId="SubttuloCarter">
    <w:name w:val="Subtítulo Caráter"/>
    <w:link w:val="Subttulo"/>
    <w:uiPriority w:val="11"/>
    <w:rsid w:val="00165E8B"/>
    <w:rPr>
      <w:rFonts w:ascii="Calibri" w:eastAsia="Times New Roman" w:hAnsi="Calibri"/>
      <w:color w:val="5A5A5A"/>
      <w:spacing w:val="15"/>
      <w:sz w:val="22"/>
      <w:szCs w:val="22"/>
    </w:rPr>
  </w:style>
  <w:style w:type="paragraph" w:styleId="SemEspaamento">
    <w:name w:val="No Spacing"/>
    <w:link w:val="SemEspaamentoCarter"/>
    <w:uiPriority w:val="1"/>
    <w:qFormat/>
    <w:rsid w:val="00D21CF5"/>
    <w:rPr>
      <w:rFonts w:ascii="Calibri" w:hAnsi="Calibri"/>
      <w:sz w:val="22"/>
      <w:szCs w:val="22"/>
    </w:rPr>
  </w:style>
  <w:style w:type="character" w:customStyle="1" w:styleId="SemEspaamentoCarter">
    <w:name w:val="Sem Espaçamento Caráter"/>
    <w:link w:val="SemEspaamento"/>
    <w:uiPriority w:val="1"/>
    <w:rsid w:val="00D21CF5"/>
    <w:rPr>
      <w:rFonts w:ascii="Calibri" w:eastAsia="Times New Roman" w:hAnsi="Calibri" w:cs="Times New Roman"/>
      <w:sz w:val="22"/>
      <w:szCs w:val="22"/>
    </w:rPr>
  </w:style>
  <w:style w:type="character" w:customStyle="1" w:styleId="RodapCarter">
    <w:name w:val="Rodapé Caráter"/>
    <w:basedOn w:val="Tipodeletrapredefinidodopargrafo"/>
    <w:link w:val="Rodap"/>
    <w:uiPriority w:val="99"/>
    <w:rsid w:val="001A5A1B"/>
  </w:style>
  <w:style w:type="character" w:customStyle="1" w:styleId="Cabealho3Carter">
    <w:name w:val="Cabeçalho 3 Caráter"/>
    <w:link w:val="Cabealho3"/>
    <w:semiHidden/>
    <w:rsid w:val="00390CBA"/>
    <w:rPr>
      <w:rFonts w:ascii="Calibri Light" w:eastAsia="Times New Roman" w:hAnsi="Calibri Light" w:cs="Times New Roman"/>
      <w:b/>
      <w:bCs/>
      <w:sz w:val="26"/>
      <w:szCs w:val="26"/>
    </w:rPr>
  </w:style>
  <w:style w:type="paragraph" w:styleId="NormalWeb">
    <w:name w:val="Normal (Web)"/>
    <w:basedOn w:val="Normal"/>
    <w:uiPriority w:val="99"/>
    <w:semiHidden/>
    <w:unhideWhenUsed/>
    <w:rsid w:val="009B204C"/>
    <w:pPr>
      <w:widowControl/>
      <w:spacing w:before="100" w:beforeAutospacing="1" w:after="100" w:afterAutospacing="1"/>
    </w:pPr>
    <w:rPr>
      <w:sz w:val="24"/>
      <w:szCs w:val="24"/>
    </w:rPr>
  </w:style>
  <w:style w:type="paragraph" w:styleId="Cabealhodondice">
    <w:name w:val="TOC Heading"/>
    <w:basedOn w:val="Cabealho1"/>
    <w:next w:val="Normal"/>
    <w:uiPriority w:val="39"/>
    <w:unhideWhenUsed/>
    <w:qFormat/>
    <w:rsid w:val="00060AA1"/>
    <w:pPr>
      <w:keepLines/>
      <w:widowControl/>
      <w:spacing w:before="240" w:line="259" w:lineRule="auto"/>
      <w:jc w:val="left"/>
      <w:outlineLvl w:val="9"/>
    </w:pPr>
    <w:rPr>
      <w:rFonts w:ascii="Calibri Light" w:hAnsi="Calibri Light"/>
      <w:color w:val="2E74B5"/>
      <w:sz w:val="32"/>
      <w:szCs w:val="32"/>
    </w:rPr>
  </w:style>
  <w:style w:type="paragraph" w:styleId="ndicedeilustraes">
    <w:name w:val="table of figures"/>
    <w:basedOn w:val="Normal"/>
    <w:next w:val="Normal"/>
    <w:semiHidden/>
    <w:unhideWhenUsed/>
    <w:rsid w:val="006F0937"/>
  </w:style>
  <w:style w:type="paragraph" w:styleId="ndice2">
    <w:name w:val="toc 2"/>
    <w:basedOn w:val="Normal"/>
    <w:next w:val="Normal"/>
    <w:autoRedefine/>
    <w:uiPriority w:val="39"/>
    <w:unhideWhenUsed/>
    <w:rsid w:val="00060AA1"/>
    <w:pPr>
      <w:widowControl/>
      <w:spacing w:after="100" w:line="259" w:lineRule="auto"/>
      <w:ind w:left="220"/>
    </w:pPr>
    <w:rPr>
      <w:rFonts w:ascii="Calibri" w:hAnsi="Calibri"/>
      <w:sz w:val="22"/>
      <w:szCs w:val="22"/>
    </w:rPr>
  </w:style>
  <w:style w:type="paragraph" w:styleId="ndice1">
    <w:name w:val="toc 1"/>
    <w:basedOn w:val="Normal"/>
    <w:next w:val="Normal"/>
    <w:autoRedefine/>
    <w:uiPriority w:val="39"/>
    <w:unhideWhenUsed/>
    <w:rsid w:val="00060AA1"/>
    <w:pPr>
      <w:widowControl/>
      <w:spacing w:after="100" w:line="259" w:lineRule="auto"/>
    </w:pPr>
    <w:rPr>
      <w:rFonts w:ascii="Calibri" w:hAnsi="Calibri"/>
      <w:sz w:val="22"/>
      <w:szCs w:val="22"/>
    </w:rPr>
  </w:style>
  <w:style w:type="paragraph" w:styleId="ndice3">
    <w:name w:val="toc 3"/>
    <w:basedOn w:val="Normal"/>
    <w:next w:val="Normal"/>
    <w:autoRedefine/>
    <w:uiPriority w:val="39"/>
    <w:unhideWhenUsed/>
    <w:rsid w:val="00060AA1"/>
    <w:pPr>
      <w:widowControl/>
      <w:spacing w:after="100" w:line="259" w:lineRule="auto"/>
      <w:ind w:left="440"/>
    </w:pPr>
    <w:rPr>
      <w:rFonts w:ascii="Calibri" w:hAnsi="Calibri"/>
      <w:sz w:val="22"/>
      <w:szCs w:val="22"/>
    </w:rPr>
  </w:style>
  <w:style w:type="character" w:customStyle="1" w:styleId="Corpodetexto2Carter">
    <w:name w:val="Corpo de texto 2 Caráter"/>
    <w:basedOn w:val="Tipodeletrapredefinidodopargrafo"/>
    <w:link w:val="Corpodetexto2"/>
    <w:rsid w:val="00964E78"/>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7455">
      <w:bodyDiv w:val="1"/>
      <w:marLeft w:val="0"/>
      <w:marRight w:val="0"/>
      <w:marTop w:val="0"/>
      <w:marBottom w:val="0"/>
      <w:divBdr>
        <w:top w:val="none" w:sz="0" w:space="0" w:color="auto"/>
        <w:left w:val="none" w:sz="0" w:space="0" w:color="auto"/>
        <w:bottom w:val="none" w:sz="0" w:space="0" w:color="auto"/>
        <w:right w:val="none" w:sz="0" w:space="0" w:color="auto"/>
      </w:divBdr>
    </w:div>
    <w:div w:id="48650478">
      <w:bodyDiv w:val="1"/>
      <w:marLeft w:val="0"/>
      <w:marRight w:val="0"/>
      <w:marTop w:val="0"/>
      <w:marBottom w:val="0"/>
      <w:divBdr>
        <w:top w:val="none" w:sz="0" w:space="0" w:color="auto"/>
        <w:left w:val="none" w:sz="0" w:space="0" w:color="auto"/>
        <w:bottom w:val="none" w:sz="0" w:space="0" w:color="auto"/>
        <w:right w:val="none" w:sz="0" w:space="0" w:color="auto"/>
      </w:divBdr>
    </w:div>
    <w:div w:id="73091745">
      <w:bodyDiv w:val="1"/>
      <w:marLeft w:val="0"/>
      <w:marRight w:val="0"/>
      <w:marTop w:val="0"/>
      <w:marBottom w:val="0"/>
      <w:divBdr>
        <w:top w:val="none" w:sz="0" w:space="0" w:color="auto"/>
        <w:left w:val="none" w:sz="0" w:space="0" w:color="auto"/>
        <w:bottom w:val="none" w:sz="0" w:space="0" w:color="auto"/>
        <w:right w:val="none" w:sz="0" w:space="0" w:color="auto"/>
      </w:divBdr>
    </w:div>
    <w:div w:id="135072128">
      <w:bodyDiv w:val="1"/>
      <w:marLeft w:val="0"/>
      <w:marRight w:val="0"/>
      <w:marTop w:val="0"/>
      <w:marBottom w:val="0"/>
      <w:divBdr>
        <w:top w:val="none" w:sz="0" w:space="0" w:color="auto"/>
        <w:left w:val="none" w:sz="0" w:space="0" w:color="auto"/>
        <w:bottom w:val="none" w:sz="0" w:space="0" w:color="auto"/>
        <w:right w:val="none" w:sz="0" w:space="0" w:color="auto"/>
      </w:divBdr>
    </w:div>
    <w:div w:id="151870791">
      <w:bodyDiv w:val="1"/>
      <w:marLeft w:val="0"/>
      <w:marRight w:val="0"/>
      <w:marTop w:val="0"/>
      <w:marBottom w:val="0"/>
      <w:divBdr>
        <w:top w:val="none" w:sz="0" w:space="0" w:color="auto"/>
        <w:left w:val="none" w:sz="0" w:space="0" w:color="auto"/>
        <w:bottom w:val="none" w:sz="0" w:space="0" w:color="auto"/>
        <w:right w:val="none" w:sz="0" w:space="0" w:color="auto"/>
      </w:divBdr>
    </w:div>
    <w:div w:id="283777358">
      <w:bodyDiv w:val="1"/>
      <w:marLeft w:val="0"/>
      <w:marRight w:val="0"/>
      <w:marTop w:val="0"/>
      <w:marBottom w:val="0"/>
      <w:divBdr>
        <w:top w:val="none" w:sz="0" w:space="0" w:color="auto"/>
        <w:left w:val="none" w:sz="0" w:space="0" w:color="auto"/>
        <w:bottom w:val="none" w:sz="0" w:space="0" w:color="auto"/>
        <w:right w:val="none" w:sz="0" w:space="0" w:color="auto"/>
      </w:divBdr>
    </w:div>
    <w:div w:id="314842885">
      <w:bodyDiv w:val="1"/>
      <w:marLeft w:val="0"/>
      <w:marRight w:val="0"/>
      <w:marTop w:val="0"/>
      <w:marBottom w:val="0"/>
      <w:divBdr>
        <w:top w:val="none" w:sz="0" w:space="0" w:color="auto"/>
        <w:left w:val="none" w:sz="0" w:space="0" w:color="auto"/>
        <w:bottom w:val="none" w:sz="0" w:space="0" w:color="auto"/>
        <w:right w:val="none" w:sz="0" w:space="0" w:color="auto"/>
      </w:divBdr>
    </w:div>
    <w:div w:id="369109763">
      <w:bodyDiv w:val="1"/>
      <w:marLeft w:val="0"/>
      <w:marRight w:val="0"/>
      <w:marTop w:val="0"/>
      <w:marBottom w:val="0"/>
      <w:divBdr>
        <w:top w:val="none" w:sz="0" w:space="0" w:color="auto"/>
        <w:left w:val="none" w:sz="0" w:space="0" w:color="auto"/>
        <w:bottom w:val="none" w:sz="0" w:space="0" w:color="auto"/>
        <w:right w:val="none" w:sz="0" w:space="0" w:color="auto"/>
      </w:divBdr>
    </w:div>
    <w:div w:id="435566647">
      <w:bodyDiv w:val="1"/>
      <w:marLeft w:val="0"/>
      <w:marRight w:val="0"/>
      <w:marTop w:val="0"/>
      <w:marBottom w:val="0"/>
      <w:divBdr>
        <w:top w:val="none" w:sz="0" w:space="0" w:color="auto"/>
        <w:left w:val="none" w:sz="0" w:space="0" w:color="auto"/>
        <w:bottom w:val="none" w:sz="0" w:space="0" w:color="auto"/>
        <w:right w:val="none" w:sz="0" w:space="0" w:color="auto"/>
      </w:divBdr>
      <w:divsChild>
        <w:div w:id="411854150">
          <w:marLeft w:val="0"/>
          <w:marRight w:val="0"/>
          <w:marTop w:val="0"/>
          <w:marBottom w:val="0"/>
          <w:divBdr>
            <w:top w:val="none" w:sz="0" w:space="0" w:color="auto"/>
            <w:left w:val="none" w:sz="0" w:space="0" w:color="auto"/>
            <w:bottom w:val="none" w:sz="0" w:space="0" w:color="auto"/>
            <w:right w:val="none" w:sz="0" w:space="0" w:color="auto"/>
          </w:divBdr>
        </w:div>
        <w:div w:id="1401169443">
          <w:marLeft w:val="0"/>
          <w:marRight w:val="0"/>
          <w:marTop w:val="0"/>
          <w:marBottom w:val="0"/>
          <w:divBdr>
            <w:top w:val="none" w:sz="0" w:space="0" w:color="auto"/>
            <w:left w:val="none" w:sz="0" w:space="0" w:color="auto"/>
            <w:bottom w:val="none" w:sz="0" w:space="0" w:color="auto"/>
            <w:right w:val="none" w:sz="0" w:space="0" w:color="auto"/>
          </w:divBdr>
        </w:div>
        <w:div w:id="1737972826">
          <w:marLeft w:val="0"/>
          <w:marRight w:val="0"/>
          <w:marTop w:val="0"/>
          <w:marBottom w:val="0"/>
          <w:divBdr>
            <w:top w:val="none" w:sz="0" w:space="0" w:color="auto"/>
            <w:left w:val="none" w:sz="0" w:space="0" w:color="auto"/>
            <w:bottom w:val="none" w:sz="0" w:space="0" w:color="auto"/>
            <w:right w:val="none" w:sz="0" w:space="0" w:color="auto"/>
          </w:divBdr>
        </w:div>
      </w:divsChild>
    </w:div>
    <w:div w:id="567299983">
      <w:bodyDiv w:val="1"/>
      <w:marLeft w:val="0"/>
      <w:marRight w:val="0"/>
      <w:marTop w:val="0"/>
      <w:marBottom w:val="0"/>
      <w:divBdr>
        <w:top w:val="none" w:sz="0" w:space="0" w:color="auto"/>
        <w:left w:val="none" w:sz="0" w:space="0" w:color="auto"/>
        <w:bottom w:val="none" w:sz="0" w:space="0" w:color="auto"/>
        <w:right w:val="none" w:sz="0" w:space="0" w:color="auto"/>
      </w:divBdr>
    </w:div>
    <w:div w:id="632709506">
      <w:bodyDiv w:val="1"/>
      <w:marLeft w:val="0"/>
      <w:marRight w:val="0"/>
      <w:marTop w:val="0"/>
      <w:marBottom w:val="0"/>
      <w:divBdr>
        <w:top w:val="none" w:sz="0" w:space="0" w:color="auto"/>
        <w:left w:val="none" w:sz="0" w:space="0" w:color="auto"/>
        <w:bottom w:val="none" w:sz="0" w:space="0" w:color="auto"/>
        <w:right w:val="none" w:sz="0" w:space="0" w:color="auto"/>
      </w:divBdr>
    </w:div>
    <w:div w:id="647126169">
      <w:bodyDiv w:val="1"/>
      <w:marLeft w:val="0"/>
      <w:marRight w:val="0"/>
      <w:marTop w:val="0"/>
      <w:marBottom w:val="0"/>
      <w:divBdr>
        <w:top w:val="none" w:sz="0" w:space="0" w:color="auto"/>
        <w:left w:val="none" w:sz="0" w:space="0" w:color="auto"/>
        <w:bottom w:val="none" w:sz="0" w:space="0" w:color="auto"/>
        <w:right w:val="none" w:sz="0" w:space="0" w:color="auto"/>
      </w:divBdr>
    </w:div>
    <w:div w:id="775834446">
      <w:bodyDiv w:val="1"/>
      <w:marLeft w:val="0"/>
      <w:marRight w:val="0"/>
      <w:marTop w:val="0"/>
      <w:marBottom w:val="0"/>
      <w:divBdr>
        <w:top w:val="none" w:sz="0" w:space="0" w:color="auto"/>
        <w:left w:val="none" w:sz="0" w:space="0" w:color="auto"/>
        <w:bottom w:val="none" w:sz="0" w:space="0" w:color="auto"/>
        <w:right w:val="none" w:sz="0" w:space="0" w:color="auto"/>
      </w:divBdr>
    </w:div>
    <w:div w:id="786435491">
      <w:bodyDiv w:val="1"/>
      <w:marLeft w:val="0"/>
      <w:marRight w:val="0"/>
      <w:marTop w:val="0"/>
      <w:marBottom w:val="0"/>
      <w:divBdr>
        <w:top w:val="none" w:sz="0" w:space="0" w:color="auto"/>
        <w:left w:val="none" w:sz="0" w:space="0" w:color="auto"/>
        <w:bottom w:val="none" w:sz="0" w:space="0" w:color="auto"/>
        <w:right w:val="none" w:sz="0" w:space="0" w:color="auto"/>
      </w:divBdr>
    </w:div>
    <w:div w:id="796335033">
      <w:bodyDiv w:val="1"/>
      <w:marLeft w:val="0"/>
      <w:marRight w:val="0"/>
      <w:marTop w:val="0"/>
      <w:marBottom w:val="0"/>
      <w:divBdr>
        <w:top w:val="none" w:sz="0" w:space="0" w:color="auto"/>
        <w:left w:val="none" w:sz="0" w:space="0" w:color="auto"/>
        <w:bottom w:val="none" w:sz="0" w:space="0" w:color="auto"/>
        <w:right w:val="none" w:sz="0" w:space="0" w:color="auto"/>
      </w:divBdr>
    </w:div>
    <w:div w:id="833105633">
      <w:bodyDiv w:val="1"/>
      <w:marLeft w:val="0"/>
      <w:marRight w:val="0"/>
      <w:marTop w:val="0"/>
      <w:marBottom w:val="0"/>
      <w:divBdr>
        <w:top w:val="none" w:sz="0" w:space="0" w:color="auto"/>
        <w:left w:val="none" w:sz="0" w:space="0" w:color="auto"/>
        <w:bottom w:val="none" w:sz="0" w:space="0" w:color="auto"/>
        <w:right w:val="none" w:sz="0" w:space="0" w:color="auto"/>
      </w:divBdr>
    </w:div>
    <w:div w:id="842859909">
      <w:bodyDiv w:val="1"/>
      <w:marLeft w:val="0"/>
      <w:marRight w:val="0"/>
      <w:marTop w:val="0"/>
      <w:marBottom w:val="0"/>
      <w:divBdr>
        <w:top w:val="none" w:sz="0" w:space="0" w:color="auto"/>
        <w:left w:val="none" w:sz="0" w:space="0" w:color="auto"/>
        <w:bottom w:val="none" w:sz="0" w:space="0" w:color="auto"/>
        <w:right w:val="none" w:sz="0" w:space="0" w:color="auto"/>
      </w:divBdr>
      <w:divsChild>
        <w:div w:id="1203862324">
          <w:marLeft w:val="0"/>
          <w:marRight w:val="0"/>
          <w:marTop w:val="0"/>
          <w:marBottom w:val="0"/>
          <w:divBdr>
            <w:top w:val="none" w:sz="0" w:space="0" w:color="auto"/>
            <w:left w:val="none" w:sz="0" w:space="0" w:color="auto"/>
            <w:bottom w:val="none" w:sz="0" w:space="0" w:color="auto"/>
            <w:right w:val="none" w:sz="0" w:space="0" w:color="auto"/>
          </w:divBdr>
        </w:div>
      </w:divsChild>
    </w:div>
    <w:div w:id="984621627">
      <w:bodyDiv w:val="1"/>
      <w:marLeft w:val="0"/>
      <w:marRight w:val="0"/>
      <w:marTop w:val="0"/>
      <w:marBottom w:val="0"/>
      <w:divBdr>
        <w:top w:val="none" w:sz="0" w:space="0" w:color="auto"/>
        <w:left w:val="none" w:sz="0" w:space="0" w:color="auto"/>
        <w:bottom w:val="none" w:sz="0" w:space="0" w:color="auto"/>
        <w:right w:val="none" w:sz="0" w:space="0" w:color="auto"/>
      </w:divBdr>
      <w:divsChild>
        <w:div w:id="446894887">
          <w:marLeft w:val="0"/>
          <w:marRight w:val="0"/>
          <w:marTop w:val="0"/>
          <w:marBottom w:val="0"/>
          <w:divBdr>
            <w:top w:val="none" w:sz="0" w:space="0" w:color="auto"/>
            <w:left w:val="none" w:sz="0" w:space="0" w:color="auto"/>
            <w:bottom w:val="none" w:sz="0" w:space="0" w:color="auto"/>
            <w:right w:val="none" w:sz="0" w:space="0" w:color="auto"/>
          </w:divBdr>
        </w:div>
        <w:div w:id="664286543">
          <w:marLeft w:val="0"/>
          <w:marRight w:val="0"/>
          <w:marTop w:val="0"/>
          <w:marBottom w:val="0"/>
          <w:divBdr>
            <w:top w:val="none" w:sz="0" w:space="0" w:color="auto"/>
            <w:left w:val="none" w:sz="0" w:space="0" w:color="auto"/>
            <w:bottom w:val="none" w:sz="0" w:space="0" w:color="auto"/>
            <w:right w:val="none" w:sz="0" w:space="0" w:color="auto"/>
          </w:divBdr>
        </w:div>
        <w:div w:id="1097367041">
          <w:marLeft w:val="0"/>
          <w:marRight w:val="0"/>
          <w:marTop w:val="0"/>
          <w:marBottom w:val="0"/>
          <w:divBdr>
            <w:top w:val="none" w:sz="0" w:space="0" w:color="auto"/>
            <w:left w:val="none" w:sz="0" w:space="0" w:color="auto"/>
            <w:bottom w:val="none" w:sz="0" w:space="0" w:color="auto"/>
            <w:right w:val="none" w:sz="0" w:space="0" w:color="auto"/>
          </w:divBdr>
        </w:div>
        <w:div w:id="1430272623">
          <w:marLeft w:val="0"/>
          <w:marRight w:val="0"/>
          <w:marTop w:val="0"/>
          <w:marBottom w:val="0"/>
          <w:divBdr>
            <w:top w:val="none" w:sz="0" w:space="0" w:color="auto"/>
            <w:left w:val="none" w:sz="0" w:space="0" w:color="auto"/>
            <w:bottom w:val="none" w:sz="0" w:space="0" w:color="auto"/>
            <w:right w:val="none" w:sz="0" w:space="0" w:color="auto"/>
          </w:divBdr>
        </w:div>
        <w:div w:id="1616906045">
          <w:marLeft w:val="0"/>
          <w:marRight w:val="0"/>
          <w:marTop w:val="0"/>
          <w:marBottom w:val="0"/>
          <w:divBdr>
            <w:top w:val="none" w:sz="0" w:space="0" w:color="auto"/>
            <w:left w:val="none" w:sz="0" w:space="0" w:color="auto"/>
            <w:bottom w:val="none" w:sz="0" w:space="0" w:color="auto"/>
            <w:right w:val="none" w:sz="0" w:space="0" w:color="auto"/>
          </w:divBdr>
        </w:div>
      </w:divsChild>
    </w:div>
    <w:div w:id="1065369631">
      <w:bodyDiv w:val="1"/>
      <w:marLeft w:val="0"/>
      <w:marRight w:val="0"/>
      <w:marTop w:val="0"/>
      <w:marBottom w:val="0"/>
      <w:divBdr>
        <w:top w:val="none" w:sz="0" w:space="0" w:color="auto"/>
        <w:left w:val="none" w:sz="0" w:space="0" w:color="auto"/>
        <w:bottom w:val="none" w:sz="0" w:space="0" w:color="auto"/>
        <w:right w:val="none" w:sz="0" w:space="0" w:color="auto"/>
      </w:divBdr>
    </w:div>
    <w:div w:id="1107121386">
      <w:bodyDiv w:val="1"/>
      <w:marLeft w:val="0"/>
      <w:marRight w:val="0"/>
      <w:marTop w:val="0"/>
      <w:marBottom w:val="0"/>
      <w:divBdr>
        <w:top w:val="none" w:sz="0" w:space="0" w:color="auto"/>
        <w:left w:val="none" w:sz="0" w:space="0" w:color="auto"/>
        <w:bottom w:val="none" w:sz="0" w:space="0" w:color="auto"/>
        <w:right w:val="none" w:sz="0" w:space="0" w:color="auto"/>
      </w:divBdr>
    </w:div>
    <w:div w:id="1183517737">
      <w:bodyDiv w:val="1"/>
      <w:marLeft w:val="0"/>
      <w:marRight w:val="0"/>
      <w:marTop w:val="0"/>
      <w:marBottom w:val="0"/>
      <w:divBdr>
        <w:top w:val="none" w:sz="0" w:space="0" w:color="auto"/>
        <w:left w:val="none" w:sz="0" w:space="0" w:color="auto"/>
        <w:bottom w:val="none" w:sz="0" w:space="0" w:color="auto"/>
        <w:right w:val="none" w:sz="0" w:space="0" w:color="auto"/>
      </w:divBdr>
    </w:div>
    <w:div w:id="1214002196">
      <w:bodyDiv w:val="1"/>
      <w:marLeft w:val="0"/>
      <w:marRight w:val="0"/>
      <w:marTop w:val="0"/>
      <w:marBottom w:val="0"/>
      <w:divBdr>
        <w:top w:val="none" w:sz="0" w:space="0" w:color="auto"/>
        <w:left w:val="none" w:sz="0" w:space="0" w:color="auto"/>
        <w:bottom w:val="none" w:sz="0" w:space="0" w:color="auto"/>
        <w:right w:val="none" w:sz="0" w:space="0" w:color="auto"/>
      </w:divBdr>
    </w:div>
    <w:div w:id="1381704145">
      <w:bodyDiv w:val="1"/>
      <w:marLeft w:val="0"/>
      <w:marRight w:val="0"/>
      <w:marTop w:val="0"/>
      <w:marBottom w:val="0"/>
      <w:divBdr>
        <w:top w:val="none" w:sz="0" w:space="0" w:color="auto"/>
        <w:left w:val="none" w:sz="0" w:space="0" w:color="auto"/>
        <w:bottom w:val="none" w:sz="0" w:space="0" w:color="auto"/>
        <w:right w:val="none" w:sz="0" w:space="0" w:color="auto"/>
      </w:divBdr>
    </w:div>
    <w:div w:id="1383555155">
      <w:bodyDiv w:val="1"/>
      <w:marLeft w:val="0"/>
      <w:marRight w:val="0"/>
      <w:marTop w:val="0"/>
      <w:marBottom w:val="0"/>
      <w:divBdr>
        <w:top w:val="none" w:sz="0" w:space="0" w:color="auto"/>
        <w:left w:val="none" w:sz="0" w:space="0" w:color="auto"/>
        <w:bottom w:val="none" w:sz="0" w:space="0" w:color="auto"/>
        <w:right w:val="none" w:sz="0" w:space="0" w:color="auto"/>
      </w:divBdr>
    </w:div>
    <w:div w:id="1420829115">
      <w:bodyDiv w:val="1"/>
      <w:marLeft w:val="0"/>
      <w:marRight w:val="0"/>
      <w:marTop w:val="0"/>
      <w:marBottom w:val="0"/>
      <w:divBdr>
        <w:top w:val="none" w:sz="0" w:space="0" w:color="auto"/>
        <w:left w:val="none" w:sz="0" w:space="0" w:color="auto"/>
        <w:bottom w:val="none" w:sz="0" w:space="0" w:color="auto"/>
        <w:right w:val="none" w:sz="0" w:space="0" w:color="auto"/>
      </w:divBdr>
    </w:div>
    <w:div w:id="1442533876">
      <w:bodyDiv w:val="1"/>
      <w:marLeft w:val="0"/>
      <w:marRight w:val="0"/>
      <w:marTop w:val="0"/>
      <w:marBottom w:val="0"/>
      <w:divBdr>
        <w:top w:val="none" w:sz="0" w:space="0" w:color="auto"/>
        <w:left w:val="none" w:sz="0" w:space="0" w:color="auto"/>
        <w:bottom w:val="none" w:sz="0" w:space="0" w:color="auto"/>
        <w:right w:val="none" w:sz="0" w:space="0" w:color="auto"/>
      </w:divBdr>
    </w:div>
    <w:div w:id="1510369455">
      <w:bodyDiv w:val="1"/>
      <w:marLeft w:val="0"/>
      <w:marRight w:val="0"/>
      <w:marTop w:val="0"/>
      <w:marBottom w:val="0"/>
      <w:divBdr>
        <w:top w:val="none" w:sz="0" w:space="0" w:color="auto"/>
        <w:left w:val="none" w:sz="0" w:space="0" w:color="auto"/>
        <w:bottom w:val="none" w:sz="0" w:space="0" w:color="auto"/>
        <w:right w:val="none" w:sz="0" w:space="0" w:color="auto"/>
      </w:divBdr>
    </w:div>
    <w:div w:id="1524436503">
      <w:bodyDiv w:val="1"/>
      <w:marLeft w:val="0"/>
      <w:marRight w:val="0"/>
      <w:marTop w:val="0"/>
      <w:marBottom w:val="0"/>
      <w:divBdr>
        <w:top w:val="none" w:sz="0" w:space="0" w:color="auto"/>
        <w:left w:val="none" w:sz="0" w:space="0" w:color="auto"/>
        <w:bottom w:val="none" w:sz="0" w:space="0" w:color="auto"/>
        <w:right w:val="none" w:sz="0" w:space="0" w:color="auto"/>
      </w:divBdr>
    </w:div>
    <w:div w:id="1578440738">
      <w:bodyDiv w:val="1"/>
      <w:marLeft w:val="0"/>
      <w:marRight w:val="0"/>
      <w:marTop w:val="0"/>
      <w:marBottom w:val="0"/>
      <w:divBdr>
        <w:top w:val="none" w:sz="0" w:space="0" w:color="auto"/>
        <w:left w:val="none" w:sz="0" w:space="0" w:color="auto"/>
        <w:bottom w:val="none" w:sz="0" w:space="0" w:color="auto"/>
        <w:right w:val="none" w:sz="0" w:space="0" w:color="auto"/>
      </w:divBdr>
    </w:div>
    <w:div w:id="1601990934">
      <w:bodyDiv w:val="1"/>
      <w:marLeft w:val="0"/>
      <w:marRight w:val="0"/>
      <w:marTop w:val="0"/>
      <w:marBottom w:val="0"/>
      <w:divBdr>
        <w:top w:val="none" w:sz="0" w:space="0" w:color="auto"/>
        <w:left w:val="none" w:sz="0" w:space="0" w:color="auto"/>
        <w:bottom w:val="none" w:sz="0" w:space="0" w:color="auto"/>
        <w:right w:val="none" w:sz="0" w:space="0" w:color="auto"/>
      </w:divBdr>
    </w:div>
    <w:div w:id="1684819542">
      <w:bodyDiv w:val="1"/>
      <w:marLeft w:val="0"/>
      <w:marRight w:val="0"/>
      <w:marTop w:val="0"/>
      <w:marBottom w:val="0"/>
      <w:divBdr>
        <w:top w:val="none" w:sz="0" w:space="0" w:color="auto"/>
        <w:left w:val="none" w:sz="0" w:space="0" w:color="auto"/>
        <w:bottom w:val="none" w:sz="0" w:space="0" w:color="auto"/>
        <w:right w:val="none" w:sz="0" w:space="0" w:color="auto"/>
      </w:divBdr>
    </w:div>
    <w:div w:id="1729524841">
      <w:bodyDiv w:val="1"/>
      <w:marLeft w:val="0"/>
      <w:marRight w:val="0"/>
      <w:marTop w:val="0"/>
      <w:marBottom w:val="0"/>
      <w:divBdr>
        <w:top w:val="none" w:sz="0" w:space="0" w:color="auto"/>
        <w:left w:val="none" w:sz="0" w:space="0" w:color="auto"/>
        <w:bottom w:val="none" w:sz="0" w:space="0" w:color="auto"/>
        <w:right w:val="none" w:sz="0" w:space="0" w:color="auto"/>
      </w:divBdr>
    </w:div>
    <w:div w:id="1807703661">
      <w:bodyDiv w:val="1"/>
      <w:marLeft w:val="0"/>
      <w:marRight w:val="0"/>
      <w:marTop w:val="0"/>
      <w:marBottom w:val="0"/>
      <w:divBdr>
        <w:top w:val="none" w:sz="0" w:space="0" w:color="auto"/>
        <w:left w:val="none" w:sz="0" w:space="0" w:color="auto"/>
        <w:bottom w:val="none" w:sz="0" w:space="0" w:color="auto"/>
        <w:right w:val="none" w:sz="0" w:space="0" w:color="auto"/>
      </w:divBdr>
    </w:div>
    <w:div w:id="1869489465">
      <w:bodyDiv w:val="1"/>
      <w:marLeft w:val="0"/>
      <w:marRight w:val="0"/>
      <w:marTop w:val="0"/>
      <w:marBottom w:val="0"/>
      <w:divBdr>
        <w:top w:val="none" w:sz="0" w:space="0" w:color="auto"/>
        <w:left w:val="none" w:sz="0" w:space="0" w:color="auto"/>
        <w:bottom w:val="none" w:sz="0" w:space="0" w:color="auto"/>
        <w:right w:val="none" w:sz="0" w:space="0" w:color="auto"/>
      </w:divBdr>
    </w:div>
    <w:div w:id="1890611806">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sChild>
        <w:div w:id="68771412">
          <w:marLeft w:val="0"/>
          <w:marRight w:val="0"/>
          <w:marTop w:val="0"/>
          <w:marBottom w:val="0"/>
          <w:divBdr>
            <w:top w:val="none" w:sz="0" w:space="0" w:color="auto"/>
            <w:left w:val="none" w:sz="0" w:space="0" w:color="auto"/>
            <w:bottom w:val="none" w:sz="0" w:space="0" w:color="auto"/>
            <w:right w:val="none" w:sz="0" w:space="0" w:color="auto"/>
          </w:divBdr>
        </w:div>
        <w:div w:id="224099678">
          <w:marLeft w:val="0"/>
          <w:marRight w:val="0"/>
          <w:marTop w:val="0"/>
          <w:marBottom w:val="0"/>
          <w:divBdr>
            <w:top w:val="none" w:sz="0" w:space="0" w:color="auto"/>
            <w:left w:val="none" w:sz="0" w:space="0" w:color="auto"/>
            <w:bottom w:val="none" w:sz="0" w:space="0" w:color="auto"/>
            <w:right w:val="none" w:sz="0" w:space="0" w:color="auto"/>
          </w:divBdr>
        </w:div>
        <w:div w:id="362706352">
          <w:marLeft w:val="0"/>
          <w:marRight w:val="0"/>
          <w:marTop w:val="0"/>
          <w:marBottom w:val="0"/>
          <w:divBdr>
            <w:top w:val="none" w:sz="0" w:space="0" w:color="auto"/>
            <w:left w:val="none" w:sz="0" w:space="0" w:color="auto"/>
            <w:bottom w:val="none" w:sz="0" w:space="0" w:color="auto"/>
            <w:right w:val="none" w:sz="0" w:space="0" w:color="auto"/>
          </w:divBdr>
        </w:div>
        <w:div w:id="596913222">
          <w:marLeft w:val="0"/>
          <w:marRight w:val="0"/>
          <w:marTop w:val="0"/>
          <w:marBottom w:val="0"/>
          <w:divBdr>
            <w:top w:val="none" w:sz="0" w:space="0" w:color="auto"/>
            <w:left w:val="none" w:sz="0" w:space="0" w:color="auto"/>
            <w:bottom w:val="none" w:sz="0" w:space="0" w:color="auto"/>
            <w:right w:val="none" w:sz="0" w:space="0" w:color="auto"/>
          </w:divBdr>
        </w:div>
        <w:div w:id="753673588">
          <w:marLeft w:val="0"/>
          <w:marRight w:val="0"/>
          <w:marTop w:val="0"/>
          <w:marBottom w:val="0"/>
          <w:divBdr>
            <w:top w:val="none" w:sz="0" w:space="0" w:color="auto"/>
            <w:left w:val="none" w:sz="0" w:space="0" w:color="auto"/>
            <w:bottom w:val="none" w:sz="0" w:space="0" w:color="auto"/>
            <w:right w:val="none" w:sz="0" w:space="0" w:color="auto"/>
          </w:divBdr>
        </w:div>
        <w:div w:id="797574834">
          <w:marLeft w:val="0"/>
          <w:marRight w:val="0"/>
          <w:marTop w:val="0"/>
          <w:marBottom w:val="0"/>
          <w:divBdr>
            <w:top w:val="none" w:sz="0" w:space="0" w:color="auto"/>
            <w:left w:val="none" w:sz="0" w:space="0" w:color="auto"/>
            <w:bottom w:val="none" w:sz="0" w:space="0" w:color="auto"/>
            <w:right w:val="none" w:sz="0" w:space="0" w:color="auto"/>
          </w:divBdr>
        </w:div>
        <w:div w:id="1460874471">
          <w:marLeft w:val="0"/>
          <w:marRight w:val="0"/>
          <w:marTop w:val="0"/>
          <w:marBottom w:val="0"/>
          <w:divBdr>
            <w:top w:val="none" w:sz="0" w:space="0" w:color="auto"/>
            <w:left w:val="none" w:sz="0" w:space="0" w:color="auto"/>
            <w:bottom w:val="none" w:sz="0" w:space="0" w:color="auto"/>
            <w:right w:val="none" w:sz="0" w:space="0" w:color="auto"/>
          </w:divBdr>
        </w:div>
        <w:div w:id="1764181765">
          <w:marLeft w:val="0"/>
          <w:marRight w:val="0"/>
          <w:marTop w:val="0"/>
          <w:marBottom w:val="0"/>
          <w:divBdr>
            <w:top w:val="none" w:sz="0" w:space="0" w:color="auto"/>
            <w:left w:val="none" w:sz="0" w:space="0" w:color="auto"/>
            <w:bottom w:val="none" w:sz="0" w:space="0" w:color="auto"/>
            <w:right w:val="none" w:sz="0" w:space="0" w:color="auto"/>
          </w:divBdr>
        </w:div>
        <w:div w:id="1790466588">
          <w:marLeft w:val="0"/>
          <w:marRight w:val="0"/>
          <w:marTop w:val="0"/>
          <w:marBottom w:val="0"/>
          <w:divBdr>
            <w:top w:val="none" w:sz="0" w:space="0" w:color="auto"/>
            <w:left w:val="none" w:sz="0" w:space="0" w:color="auto"/>
            <w:bottom w:val="none" w:sz="0" w:space="0" w:color="auto"/>
            <w:right w:val="none" w:sz="0" w:space="0" w:color="auto"/>
          </w:divBdr>
        </w:div>
        <w:div w:id="1941789029">
          <w:marLeft w:val="0"/>
          <w:marRight w:val="0"/>
          <w:marTop w:val="0"/>
          <w:marBottom w:val="0"/>
          <w:divBdr>
            <w:top w:val="none" w:sz="0" w:space="0" w:color="auto"/>
            <w:left w:val="none" w:sz="0" w:space="0" w:color="auto"/>
            <w:bottom w:val="none" w:sz="0" w:space="0" w:color="auto"/>
            <w:right w:val="none" w:sz="0" w:space="0" w:color="auto"/>
          </w:divBdr>
        </w:div>
        <w:div w:id="2144304379">
          <w:marLeft w:val="0"/>
          <w:marRight w:val="0"/>
          <w:marTop w:val="0"/>
          <w:marBottom w:val="0"/>
          <w:divBdr>
            <w:top w:val="none" w:sz="0" w:space="0" w:color="auto"/>
            <w:left w:val="none" w:sz="0" w:space="0" w:color="auto"/>
            <w:bottom w:val="none" w:sz="0" w:space="0" w:color="auto"/>
            <w:right w:val="none" w:sz="0" w:space="0" w:color="auto"/>
          </w:divBdr>
        </w:div>
      </w:divsChild>
    </w:div>
    <w:div w:id="1991472525">
      <w:bodyDiv w:val="1"/>
      <w:marLeft w:val="0"/>
      <w:marRight w:val="0"/>
      <w:marTop w:val="0"/>
      <w:marBottom w:val="0"/>
      <w:divBdr>
        <w:top w:val="none" w:sz="0" w:space="0" w:color="auto"/>
        <w:left w:val="none" w:sz="0" w:space="0" w:color="auto"/>
        <w:bottom w:val="none" w:sz="0" w:space="0" w:color="auto"/>
        <w:right w:val="none" w:sz="0" w:space="0" w:color="auto"/>
      </w:divBdr>
    </w:div>
    <w:div w:id="1999260530">
      <w:bodyDiv w:val="1"/>
      <w:marLeft w:val="0"/>
      <w:marRight w:val="0"/>
      <w:marTop w:val="0"/>
      <w:marBottom w:val="0"/>
      <w:divBdr>
        <w:top w:val="none" w:sz="0" w:space="0" w:color="auto"/>
        <w:left w:val="none" w:sz="0" w:space="0" w:color="auto"/>
        <w:bottom w:val="none" w:sz="0" w:space="0" w:color="auto"/>
        <w:right w:val="none" w:sz="0" w:space="0" w:color="auto"/>
      </w:divBdr>
    </w:div>
    <w:div w:id="2058895117">
      <w:bodyDiv w:val="1"/>
      <w:marLeft w:val="0"/>
      <w:marRight w:val="0"/>
      <w:marTop w:val="0"/>
      <w:marBottom w:val="0"/>
      <w:divBdr>
        <w:top w:val="none" w:sz="0" w:space="0" w:color="auto"/>
        <w:left w:val="none" w:sz="0" w:space="0" w:color="auto"/>
        <w:bottom w:val="none" w:sz="0" w:space="0" w:color="auto"/>
        <w:right w:val="none" w:sz="0" w:space="0" w:color="auto"/>
      </w:divBdr>
    </w:div>
    <w:div w:id="2079086092">
      <w:bodyDiv w:val="1"/>
      <w:marLeft w:val="0"/>
      <w:marRight w:val="0"/>
      <w:marTop w:val="0"/>
      <w:marBottom w:val="0"/>
      <w:divBdr>
        <w:top w:val="none" w:sz="0" w:space="0" w:color="auto"/>
        <w:left w:val="none" w:sz="0" w:space="0" w:color="auto"/>
        <w:bottom w:val="none" w:sz="0" w:space="0" w:color="auto"/>
        <w:right w:val="none" w:sz="0" w:space="0" w:color="auto"/>
      </w:divBdr>
    </w:div>
    <w:div w:id="2135638526">
      <w:bodyDiv w:val="1"/>
      <w:marLeft w:val="0"/>
      <w:marRight w:val="0"/>
      <w:marTop w:val="0"/>
      <w:marBottom w:val="0"/>
      <w:divBdr>
        <w:top w:val="none" w:sz="0" w:space="0" w:color="auto"/>
        <w:left w:val="none" w:sz="0" w:space="0" w:color="auto"/>
        <w:bottom w:val="none" w:sz="0" w:space="0" w:color="auto"/>
        <w:right w:val="none" w:sz="0" w:space="0" w:color="auto"/>
      </w:divBdr>
    </w:div>
    <w:div w:id="214665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sc.prof.capelas@azores.gov.pt" TargetMode="External"/><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sc.prof.capelas@azores.gov.pt"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10.jpeg"/><Relationship Id="rId19" Type="http://schemas.openxmlformats.org/officeDocument/2006/relationships/image" Target="media/image8.png"/><Relationship Id="rId31" Type="http://schemas.openxmlformats.org/officeDocument/2006/relationships/header" Target="header1.xml"/><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C25D0E-C4AE-4A57-83E8-AB663D02A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41</Pages>
  <Words>3417</Words>
  <Characters>20631</Characters>
  <Application>Microsoft Office Word</Application>
  <DocSecurity>0</DocSecurity>
  <Lines>171</Lines>
  <Paragraphs>47</Paragraphs>
  <ScaleCrop>false</ScaleCrop>
  <HeadingPairs>
    <vt:vector size="2" baseType="variant">
      <vt:variant>
        <vt:lpstr>Título</vt:lpstr>
      </vt:variant>
      <vt:variant>
        <vt:i4>1</vt:i4>
      </vt:variant>
    </vt:vector>
  </HeadingPairs>
  <TitlesOfParts>
    <vt:vector size="1" baseType="lpstr">
      <vt:lpstr>relatório de gestão e contas 2015</vt:lpstr>
    </vt:vector>
  </TitlesOfParts>
  <Company>Governo Regional dos Açores</Company>
  <LinksUpToDate>false</LinksUpToDate>
  <CharactersWithSpaces>24001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gestão e contas 2015</dc:title>
  <dc:subject/>
  <dc:creator>av195605</dc:creator>
  <cp:keywords/>
  <dc:description/>
  <cp:lastModifiedBy>Olivério C. Medeiros</cp:lastModifiedBy>
  <cp:revision>14</cp:revision>
  <cp:lastPrinted>2019-04-29T20:12:00Z</cp:lastPrinted>
  <dcterms:created xsi:type="dcterms:W3CDTF">2023-04-21T15:35:00Z</dcterms:created>
  <dcterms:modified xsi:type="dcterms:W3CDTF">2023-04-26T11:13:00Z</dcterms:modified>
</cp:coreProperties>
</file>